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5"/>
        <w:gridCol w:w="4203"/>
      </w:tblGrid>
      <w:tr w:rsidR="003D029F" w14:paraId="76694BDD" w14:textId="77777777">
        <w:trPr>
          <w:trHeight w:val="276"/>
        </w:trPr>
        <w:tc>
          <w:tcPr>
            <w:tcW w:w="9018" w:type="dxa"/>
            <w:gridSpan w:val="2"/>
          </w:tcPr>
          <w:p w14:paraId="275B58C5" w14:textId="3CD27C53" w:rsidR="003D029F" w:rsidRDefault="00000000">
            <w:pPr>
              <w:pStyle w:val="TableParagraph"/>
              <w:spacing w:line="256" w:lineRule="exact"/>
              <w:ind w:left="1567" w:right="1558"/>
              <w:jc w:val="center"/>
              <w:rPr>
                <w:b/>
                <w:sz w:val="24"/>
              </w:rPr>
            </w:pPr>
            <w:r>
              <w:rPr>
                <w:b/>
                <w:sz w:val="24"/>
              </w:rPr>
              <w:t xml:space="preserve">EASA Part 145 </w:t>
            </w:r>
            <w:r w:rsidR="006C28B4">
              <w:rPr>
                <w:b/>
                <w:sz w:val="24"/>
              </w:rPr>
              <w:t>Management</w:t>
            </w:r>
            <w:r>
              <w:rPr>
                <w:b/>
                <w:sz w:val="24"/>
              </w:rPr>
              <w:t xml:space="preserve"> System Audit </w:t>
            </w:r>
            <w:r w:rsidR="006C28B4">
              <w:rPr>
                <w:b/>
                <w:sz w:val="24"/>
              </w:rPr>
              <w:t>145.A.200</w:t>
            </w:r>
            <w:r w:rsidR="005A3887">
              <w:rPr>
                <w:b/>
                <w:sz w:val="24"/>
              </w:rPr>
              <w:t xml:space="preserve"> – Audit Training Support </w:t>
            </w:r>
          </w:p>
        </w:tc>
      </w:tr>
      <w:tr w:rsidR="003D029F" w14:paraId="7C4E425D" w14:textId="77777777">
        <w:trPr>
          <w:trHeight w:val="551"/>
        </w:trPr>
        <w:tc>
          <w:tcPr>
            <w:tcW w:w="9018" w:type="dxa"/>
            <w:gridSpan w:val="2"/>
          </w:tcPr>
          <w:p w14:paraId="4090565F" w14:textId="77777777" w:rsidR="003D029F" w:rsidRDefault="00000000">
            <w:pPr>
              <w:pStyle w:val="TableParagraph"/>
              <w:spacing w:line="274" w:lineRule="exact"/>
              <w:rPr>
                <w:sz w:val="24"/>
              </w:rPr>
            </w:pPr>
            <w:r>
              <w:rPr>
                <w:sz w:val="24"/>
              </w:rPr>
              <w:t>Name Of Auditee</w:t>
            </w:r>
          </w:p>
        </w:tc>
      </w:tr>
      <w:tr w:rsidR="003D029F" w14:paraId="12BDF3EF" w14:textId="77777777">
        <w:trPr>
          <w:trHeight w:val="551"/>
        </w:trPr>
        <w:tc>
          <w:tcPr>
            <w:tcW w:w="9018" w:type="dxa"/>
            <w:gridSpan w:val="2"/>
          </w:tcPr>
          <w:p w14:paraId="6154F167" w14:textId="77777777" w:rsidR="003D029F" w:rsidRDefault="00000000">
            <w:pPr>
              <w:pStyle w:val="TableParagraph"/>
              <w:spacing w:line="274" w:lineRule="exact"/>
              <w:rPr>
                <w:sz w:val="24"/>
              </w:rPr>
            </w:pPr>
            <w:r>
              <w:rPr>
                <w:sz w:val="24"/>
              </w:rPr>
              <w:t>Date of Audit</w:t>
            </w:r>
          </w:p>
        </w:tc>
      </w:tr>
      <w:tr w:rsidR="003D029F" w14:paraId="6E3A4D65" w14:textId="77777777">
        <w:trPr>
          <w:trHeight w:val="554"/>
        </w:trPr>
        <w:tc>
          <w:tcPr>
            <w:tcW w:w="9018" w:type="dxa"/>
            <w:gridSpan w:val="2"/>
          </w:tcPr>
          <w:p w14:paraId="1C43C070" w14:textId="77777777" w:rsidR="003D029F" w:rsidRDefault="00000000">
            <w:pPr>
              <w:pStyle w:val="TableParagraph"/>
              <w:rPr>
                <w:sz w:val="24"/>
              </w:rPr>
            </w:pPr>
            <w:r>
              <w:rPr>
                <w:sz w:val="24"/>
              </w:rPr>
              <w:t>Name of Auditor</w:t>
            </w:r>
          </w:p>
        </w:tc>
      </w:tr>
      <w:tr w:rsidR="003D029F" w14:paraId="2891EEB4" w14:textId="77777777" w:rsidTr="00C518C8">
        <w:trPr>
          <w:trHeight w:val="551"/>
        </w:trPr>
        <w:tc>
          <w:tcPr>
            <w:tcW w:w="9018" w:type="dxa"/>
            <w:gridSpan w:val="2"/>
            <w:tcBorders>
              <w:bottom w:val="single" w:sz="4" w:space="0" w:color="000000"/>
            </w:tcBorders>
          </w:tcPr>
          <w:p w14:paraId="4DB80B2F" w14:textId="77777777" w:rsidR="003D029F" w:rsidRDefault="00000000">
            <w:pPr>
              <w:pStyle w:val="TableParagraph"/>
              <w:spacing w:line="274" w:lineRule="exact"/>
              <w:rPr>
                <w:sz w:val="24"/>
              </w:rPr>
            </w:pPr>
            <w:r>
              <w:rPr>
                <w:sz w:val="24"/>
              </w:rPr>
              <w:t>Audit Standard EASA Part 145 IR, AMC &amp; GM</w:t>
            </w:r>
          </w:p>
        </w:tc>
      </w:tr>
      <w:tr w:rsidR="003D029F" w14:paraId="2BEF3D94" w14:textId="77777777" w:rsidTr="005A3887">
        <w:trPr>
          <w:trHeight w:val="1358"/>
        </w:trPr>
        <w:tc>
          <w:tcPr>
            <w:tcW w:w="9018" w:type="dxa"/>
            <w:gridSpan w:val="2"/>
            <w:tcBorders>
              <w:bottom w:val="single" w:sz="4" w:space="0" w:color="auto"/>
            </w:tcBorders>
          </w:tcPr>
          <w:p w14:paraId="017F4710" w14:textId="77777777" w:rsidR="003D029F" w:rsidRPr="005A3887" w:rsidRDefault="00000000" w:rsidP="005A3887">
            <w:pPr>
              <w:pStyle w:val="TableParagraph"/>
              <w:ind w:right="772"/>
              <w:jc w:val="center"/>
              <w:rPr>
                <w:b/>
                <w:i/>
                <w:highlight w:val="cyan"/>
              </w:rPr>
            </w:pPr>
            <w:r w:rsidRPr="005A3887">
              <w:rPr>
                <w:b/>
                <w:i/>
                <w:highlight w:val="cyan"/>
              </w:rPr>
              <w:t>Additional Guidance is shown in Bold Italics – Basic Questions include Management &amp; Oversight –Ownership of Procedures - Competence &amp;</w:t>
            </w:r>
          </w:p>
          <w:p w14:paraId="1144A760" w14:textId="77777777" w:rsidR="00C518C8" w:rsidRPr="005A3887" w:rsidRDefault="00000000" w:rsidP="005A3887">
            <w:pPr>
              <w:pStyle w:val="TableParagraph"/>
              <w:ind w:right="225"/>
              <w:jc w:val="center"/>
              <w:rPr>
                <w:b/>
                <w:i/>
              </w:rPr>
            </w:pPr>
            <w:r w:rsidRPr="005A3887">
              <w:rPr>
                <w:b/>
                <w:i/>
                <w:highlight w:val="cyan"/>
              </w:rPr>
              <w:t>Training “as required” Completeness, Compliance &amp; Validity of Procedures. In all cases identify the reference of MOE and Associated Procedure</w:t>
            </w:r>
            <w:r w:rsidR="00C518C8" w:rsidRPr="005A3887">
              <w:rPr>
                <w:b/>
                <w:i/>
                <w:highlight w:val="cyan"/>
              </w:rPr>
              <w:t>s</w:t>
            </w:r>
          </w:p>
          <w:p w14:paraId="73E74F2D" w14:textId="77777777" w:rsidR="00E73CE1" w:rsidRDefault="00E73CE1" w:rsidP="00C518C8">
            <w:pPr>
              <w:pStyle w:val="TableParagraph"/>
              <w:ind w:right="225"/>
              <w:rPr>
                <w:b/>
                <w:i/>
                <w:sz w:val="24"/>
              </w:rPr>
            </w:pPr>
          </w:p>
          <w:p w14:paraId="1283ED3D" w14:textId="089F714F" w:rsidR="00E73CE1" w:rsidRDefault="00E73CE1" w:rsidP="00C518C8">
            <w:pPr>
              <w:pStyle w:val="TableParagraph"/>
              <w:ind w:right="225"/>
              <w:rPr>
                <w:b/>
                <w:i/>
                <w:sz w:val="24"/>
              </w:rPr>
            </w:pPr>
            <w:r>
              <w:rPr>
                <w:b/>
                <w:i/>
                <w:sz w:val="24"/>
              </w:rPr>
              <w:t xml:space="preserve">Note this Audit Check Sheet is partially redacted to support identification of </w:t>
            </w:r>
            <w:r w:rsidR="005A3887">
              <w:rPr>
                <w:b/>
                <w:i/>
                <w:sz w:val="24"/>
              </w:rPr>
              <w:t>specific &amp; relevant Management System A</w:t>
            </w:r>
            <w:r>
              <w:rPr>
                <w:b/>
                <w:i/>
                <w:sz w:val="24"/>
              </w:rPr>
              <w:t xml:space="preserve">udit </w:t>
            </w:r>
            <w:r w:rsidR="005A3887">
              <w:rPr>
                <w:b/>
                <w:i/>
                <w:sz w:val="24"/>
              </w:rPr>
              <w:t>C</w:t>
            </w:r>
            <w:r>
              <w:rPr>
                <w:b/>
                <w:i/>
                <w:sz w:val="24"/>
              </w:rPr>
              <w:t>riteria</w:t>
            </w:r>
          </w:p>
          <w:p w14:paraId="51C33BB8" w14:textId="77777777" w:rsidR="00C518C8" w:rsidRDefault="00C518C8" w:rsidP="00C518C8">
            <w:pPr>
              <w:pStyle w:val="TableParagraph"/>
              <w:ind w:right="225"/>
              <w:rPr>
                <w:b/>
                <w:i/>
                <w:sz w:val="24"/>
              </w:rPr>
            </w:pPr>
          </w:p>
          <w:p w14:paraId="4B66EA81" w14:textId="0940539A" w:rsidR="00C518C8" w:rsidRDefault="00C518C8" w:rsidP="006C28B4">
            <w:pPr>
              <w:pStyle w:val="TableParagraph"/>
              <w:jc w:val="both"/>
            </w:pPr>
            <w:r>
              <w:t>Requirement 145.</w:t>
            </w:r>
            <w:r w:rsidR="00291FCB">
              <w:t>A</w:t>
            </w:r>
            <w:r>
              <w:t>.200 outlines the essential components of a management system that an organization must establish, implement, and maintain.</w:t>
            </w:r>
          </w:p>
          <w:p w14:paraId="71F8F33A" w14:textId="77777777" w:rsidR="00291FCB" w:rsidRDefault="00291FCB" w:rsidP="006C28B4">
            <w:pPr>
              <w:pStyle w:val="TableParagraph"/>
              <w:jc w:val="both"/>
            </w:pPr>
          </w:p>
          <w:p w14:paraId="7819D777" w14:textId="69004BC0" w:rsidR="00C518C8" w:rsidRDefault="00C518C8" w:rsidP="006C28B4">
            <w:pPr>
              <w:pStyle w:val="TableParagraph"/>
              <w:jc w:val="both"/>
            </w:pPr>
            <w:r>
              <w:t>These requirements include:</w:t>
            </w:r>
          </w:p>
          <w:p w14:paraId="3C50A774" w14:textId="77777777" w:rsidR="00291FCB" w:rsidRDefault="00291FCB" w:rsidP="006C28B4">
            <w:pPr>
              <w:pStyle w:val="TableParagraph"/>
              <w:jc w:val="both"/>
              <w:rPr>
                <w:rFonts w:eastAsia="Times New Roman"/>
              </w:rPr>
            </w:pPr>
          </w:p>
          <w:p w14:paraId="126BDBC1" w14:textId="43039106" w:rsidR="00C518C8" w:rsidRDefault="00C518C8" w:rsidP="006C28B4">
            <w:pPr>
              <w:pStyle w:val="TableParagraph"/>
              <w:jc w:val="both"/>
            </w:pPr>
            <w:r w:rsidRPr="006C28B4">
              <w:rPr>
                <w:b/>
                <w:bCs/>
              </w:rPr>
              <w:t>Clear accountability and</w:t>
            </w:r>
            <w:r w:rsidR="006C28B4" w:rsidRPr="006C28B4">
              <w:rPr>
                <w:b/>
                <w:bCs/>
              </w:rPr>
              <w:t xml:space="preserve"> responsibility</w:t>
            </w:r>
            <w:r w:rsidR="006C28B4">
              <w:t xml:space="preserve">: </w:t>
            </w:r>
            <w:r>
              <w:t>The organization must define and communicate accountability and lines of responsibility throughout the entire organization. This includes assigning direct safety accountability to an accountable manager.</w:t>
            </w:r>
          </w:p>
          <w:p w14:paraId="72237621" w14:textId="77777777" w:rsidR="00291FCB" w:rsidRDefault="00291FCB" w:rsidP="006C28B4">
            <w:pPr>
              <w:pStyle w:val="TableParagraph"/>
              <w:jc w:val="both"/>
            </w:pPr>
          </w:p>
          <w:p w14:paraId="4EDA47C4" w14:textId="3FAF20E3" w:rsidR="00C518C8" w:rsidRDefault="006C28B4" w:rsidP="006C28B4">
            <w:pPr>
              <w:pStyle w:val="TableParagraph"/>
              <w:jc w:val="both"/>
            </w:pPr>
            <w:r w:rsidRPr="006C28B4">
              <w:rPr>
                <w:b/>
                <w:bCs/>
              </w:rPr>
              <w:t>Safety policy</w:t>
            </w:r>
            <w:r>
              <w:t>: T</w:t>
            </w:r>
            <w:r w:rsidR="00C518C8">
              <w:t>he organization is required to establish a safety policy that outlines its overarching philosophies and principles regarding safety, along with related safety objectives.</w:t>
            </w:r>
          </w:p>
          <w:p w14:paraId="18E5764C" w14:textId="77777777" w:rsidR="006C28B4" w:rsidRDefault="006C28B4" w:rsidP="006C28B4">
            <w:pPr>
              <w:pStyle w:val="TableParagraph"/>
              <w:jc w:val="both"/>
            </w:pPr>
          </w:p>
          <w:p w14:paraId="26FFFD13" w14:textId="17B0A9AE" w:rsidR="00C518C8" w:rsidRDefault="006C28B4" w:rsidP="006C28B4">
            <w:pPr>
              <w:pStyle w:val="TableParagraph"/>
              <w:jc w:val="both"/>
            </w:pPr>
            <w:r w:rsidRPr="006C28B4">
              <w:rPr>
                <w:b/>
                <w:bCs/>
              </w:rPr>
              <w:t>Hazard identification and risk management:</w:t>
            </w:r>
            <w:r>
              <w:t xml:space="preserve"> </w:t>
            </w:r>
            <w:r w:rsidR="00C518C8">
              <w:t>The organization must identify aviation safety hazards associated with its activities, evaluate these hazards, and manage the associated risks. This involves taking actions to mitigate risks and verifying the effectiveness of these actions.</w:t>
            </w:r>
          </w:p>
          <w:p w14:paraId="08D4CCE1" w14:textId="77777777" w:rsidR="006C28B4" w:rsidRDefault="006C28B4" w:rsidP="006C28B4">
            <w:pPr>
              <w:pStyle w:val="TableParagraph"/>
              <w:jc w:val="both"/>
            </w:pPr>
          </w:p>
          <w:p w14:paraId="459C97B2" w14:textId="397DE177" w:rsidR="00C518C8" w:rsidRDefault="00291FCB" w:rsidP="006C28B4">
            <w:pPr>
              <w:pStyle w:val="TableParagraph"/>
              <w:jc w:val="both"/>
            </w:pPr>
            <w:r w:rsidRPr="006C28B4">
              <w:rPr>
                <w:b/>
                <w:bCs/>
              </w:rPr>
              <w:t>Competent</w:t>
            </w:r>
            <w:r w:rsidR="006C28B4" w:rsidRPr="006C28B4">
              <w:rPr>
                <w:b/>
                <w:bCs/>
              </w:rPr>
              <w:t xml:space="preserve"> </w:t>
            </w:r>
            <w:r w:rsidRPr="006C28B4">
              <w:rPr>
                <w:b/>
                <w:bCs/>
              </w:rPr>
              <w:t>pers</w:t>
            </w:r>
            <w:r>
              <w:rPr>
                <w:b/>
                <w:bCs/>
              </w:rPr>
              <w:t>o</w:t>
            </w:r>
            <w:r w:rsidRPr="006C28B4">
              <w:rPr>
                <w:b/>
                <w:bCs/>
              </w:rPr>
              <w:t>nnel</w:t>
            </w:r>
            <w:r w:rsidR="006C28B4">
              <w:t>: T</w:t>
            </w:r>
            <w:r w:rsidR="00C518C8">
              <w:t>he organization must ensure that its personnel are adequately trained and competent to perform their assigned tasks.</w:t>
            </w:r>
          </w:p>
          <w:p w14:paraId="71E8C553" w14:textId="77777777" w:rsidR="00291FCB" w:rsidRDefault="00291FCB" w:rsidP="006C28B4">
            <w:pPr>
              <w:pStyle w:val="TableParagraph"/>
              <w:jc w:val="both"/>
            </w:pPr>
          </w:p>
          <w:p w14:paraId="7D207DE7" w14:textId="523E03C4" w:rsidR="00291FCB" w:rsidRDefault="00291FCB" w:rsidP="006C28B4">
            <w:pPr>
              <w:pStyle w:val="TableParagraph"/>
              <w:jc w:val="both"/>
              <w:rPr>
                <w:b/>
                <w:bCs/>
              </w:rPr>
            </w:pPr>
            <w:r w:rsidRPr="00291FCB">
              <w:rPr>
                <w:b/>
                <w:bCs/>
              </w:rPr>
              <w:t xml:space="preserve">Notes Related to Competence Management &amp; Oversight </w:t>
            </w:r>
          </w:p>
          <w:p w14:paraId="58D6243B" w14:textId="77777777" w:rsidR="00291FCB" w:rsidRDefault="00291FCB" w:rsidP="006C28B4">
            <w:pPr>
              <w:pStyle w:val="TableParagraph"/>
              <w:jc w:val="both"/>
              <w:rPr>
                <w:b/>
                <w:bCs/>
              </w:rPr>
            </w:pPr>
          </w:p>
          <w:p w14:paraId="2E9CC762" w14:textId="77777777" w:rsidR="00291FCB" w:rsidRPr="00291FCB" w:rsidRDefault="00291FCB" w:rsidP="00291FCB">
            <w:pPr>
              <w:widowControl/>
              <w:shd w:val="clear" w:color="auto" w:fill="FFFFFF"/>
              <w:autoSpaceDE/>
              <w:autoSpaceDN/>
              <w:rPr>
                <w:rFonts w:eastAsia="Times New Roman"/>
                <w:i/>
                <w:iCs/>
                <w:sz w:val="20"/>
                <w:szCs w:val="20"/>
                <w:highlight w:val="cyan"/>
                <w:lang w:val="en-GB" w:eastAsia="en-GB"/>
              </w:rPr>
            </w:pPr>
            <w:r w:rsidRPr="00291FCB">
              <w:rPr>
                <w:rFonts w:eastAsia="Times New Roman"/>
                <w:b/>
                <w:bCs/>
                <w:i/>
                <w:iCs/>
                <w:sz w:val="20"/>
                <w:szCs w:val="20"/>
                <w:highlight w:val="cyan"/>
                <w:lang w:val="en-GB" w:eastAsia="en-GB"/>
              </w:rPr>
              <w:t>How is the Competence Assessment Process Managed?</w:t>
            </w:r>
          </w:p>
          <w:p w14:paraId="4F99D27E" w14:textId="77777777" w:rsidR="00291FCB" w:rsidRPr="00291FCB" w:rsidRDefault="00291FCB" w:rsidP="00291FCB">
            <w:pPr>
              <w:widowControl/>
              <w:numPr>
                <w:ilvl w:val="0"/>
                <w:numId w:val="20"/>
              </w:numPr>
              <w:shd w:val="clear" w:color="auto" w:fill="FFFFFF"/>
              <w:autoSpaceDE/>
              <w:autoSpaceDN/>
              <w:rPr>
                <w:rFonts w:eastAsia="Times New Roman"/>
                <w:i/>
                <w:iCs/>
                <w:sz w:val="20"/>
                <w:szCs w:val="20"/>
                <w:highlight w:val="cyan"/>
                <w:lang w:val="en-GB" w:eastAsia="en-GB"/>
              </w:rPr>
            </w:pPr>
            <w:r w:rsidRPr="00291FCB">
              <w:rPr>
                <w:rFonts w:eastAsia="Times New Roman"/>
                <w:i/>
                <w:iCs/>
                <w:sz w:val="20"/>
                <w:szCs w:val="20"/>
                <w:highlight w:val="cyan"/>
                <w:lang w:val="en-GB" w:eastAsia="en-GB"/>
              </w:rPr>
              <w:t>The system should be managed to a defined company standard, (which meets or exceeds EASA Requirements)</w:t>
            </w:r>
          </w:p>
          <w:p w14:paraId="5B2D0815" w14:textId="0893B8F8" w:rsidR="00291FCB" w:rsidRPr="00291FCB" w:rsidRDefault="00291FCB" w:rsidP="00291FCB">
            <w:pPr>
              <w:widowControl/>
              <w:numPr>
                <w:ilvl w:val="0"/>
                <w:numId w:val="20"/>
              </w:numPr>
              <w:shd w:val="clear" w:color="auto" w:fill="FFFFFF"/>
              <w:autoSpaceDE/>
              <w:autoSpaceDN/>
              <w:rPr>
                <w:rFonts w:eastAsia="Times New Roman"/>
                <w:i/>
                <w:iCs/>
                <w:sz w:val="20"/>
                <w:szCs w:val="20"/>
                <w:highlight w:val="cyan"/>
                <w:lang w:val="en-GB" w:eastAsia="en-GB"/>
              </w:rPr>
            </w:pPr>
            <w:r w:rsidRPr="00291FCB">
              <w:rPr>
                <w:rFonts w:eastAsia="Times New Roman"/>
                <w:i/>
                <w:iCs/>
                <w:sz w:val="20"/>
                <w:szCs w:val="20"/>
                <w:highlight w:val="cyan"/>
                <w:lang w:val="en-GB" w:eastAsia="en-GB"/>
              </w:rPr>
              <w:t xml:space="preserve">Those managing the system should have a full understanding of the needs of the competency </w:t>
            </w:r>
            <w:r w:rsidRPr="00A570A6">
              <w:rPr>
                <w:rFonts w:eastAsia="Times New Roman"/>
                <w:i/>
                <w:iCs/>
                <w:sz w:val="20"/>
                <w:szCs w:val="20"/>
                <w:highlight w:val="cyan"/>
                <w:lang w:val="en-GB" w:eastAsia="en-GB"/>
              </w:rPr>
              <w:t>system.</w:t>
            </w:r>
          </w:p>
          <w:p w14:paraId="699C0570" w14:textId="77777777" w:rsidR="00291FCB" w:rsidRPr="00291FCB" w:rsidRDefault="00291FCB" w:rsidP="00291FCB">
            <w:pPr>
              <w:widowControl/>
              <w:shd w:val="clear" w:color="auto" w:fill="FFFFFF"/>
              <w:autoSpaceDE/>
              <w:autoSpaceDN/>
              <w:rPr>
                <w:rFonts w:eastAsia="Times New Roman"/>
                <w:i/>
                <w:iCs/>
                <w:sz w:val="20"/>
                <w:szCs w:val="20"/>
                <w:highlight w:val="cyan"/>
                <w:lang w:val="en-GB" w:eastAsia="en-GB"/>
              </w:rPr>
            </w:pPr>
            <w:r w:rsidRPr="00291FCB">
              <w:rPr>
                <w:rFonts w:eastAsia="Times New Roman"/>
                <w:b/>
                <w:bCs/>
                <w:i/>
                <w:iCs/>
                <w:sz w:val="20"/>
                <w:szCs w:val="20"/>
                <w:highlight w:val="cyan"/>
                <w:lang w:val="en-GB" w:eastAsia="en-GB"/>
              </w:rPr>
              <w:t>How is this Management Evidenced?</w:t>
            </w:r>
          </w:p>
          <w:p w14:paraId="2189848A" w14:textId="77777777" w:rsidR="00291FCB" w:rsidRPr="00291FCB" w:rsidRDefault="00291FCB" w:rsidP="00291FCB">
            <w:pPr>
              <w:widowControl/>
              <w:numPr>
                <w:ilvl w:val="0"/>
                <w:numId w:val="21"/>
              </w:numPr>
              <w:shd w:val="clear" w:color="auto" w:fill="FFFFFF"/>
              <w:autoSpaceDE/>
              <w:autoSpaceDN/>
              <w:rPr>
                <w:rFonts w:eastAsia="Times New Roman"/>
                <w:i/>
                <w:iCs/>
                <w:sz w:val="20"/>
                <w:szCs w:val="20"/>
                <w:highlight w:val="cyan"/>
                <w:lang w:val="en-GB" w:eastAsia="en-GB"/>
              </w:rPr>
            </w:pPr>
            <w:r w:rsidRPr="00291FCB">
              <w:rPr>
                <w:rFonts w:eastAsia="Times New Roman"/>
                <w:i/>
                <w:iCs/>
                <w:sz w:val="20"/>
                <w:szCs w:val="20"/>
                <w:highlight w:val="cyan"/>
                <w:lang w:val="en-GB" w:eastAsia="en-GB"/>
              </w:rPr>
              <w:t>Is the Competence Management Procedure Fully Documented?</w:t>
            </w:r>
          </w:p>
          <w:p w14:paraId="33AE565C" w14:textId="77777777" w:rsidR="00291FCB" w:rsidRPr="00291FCB" w:rsidRDefault="00291FCB" w:rsidP="00291FCB">
            <w:pPr>
              <w:widowControl/>
              <w:numPr>
                <w:ilvl w:val="0"/>
                <w:numId w:val="21"/>
              </w:numPr>
              <w:shd w:val="clear" w:color="auto" w:fill="FFFFFF"/>
              <w:autoSpaceDE/>
              <w:autoSpaceDN/>
              <w:rPr>
                <w:rFonts w:eastAsia="Times New Roman"/>
                <w:i/>
                <w:iCs/>
                <w:sz w:val="20"/>
                <w:szCs w:val="20"/>
                <w:highlight w:val="cyan"/>
                <w:lang w:val="en-GB" w:eastAsia="en-GB"/>
              </w:rPr>
            </w:pPr>
            <w:r w:rsidRPr="00291FCB">
              <w:rPr>
                <w:rFonts w:eastAsia="Times New Roman"/>
                <w:i/>
                <w:iCs/>
                <w:sz w:val="20"/>
                <w:szCs w:val="20"/>
                <w:highlight w:val="cyan"/>
                <w:lang w:val="en-GB" w:eastAsia="en-GB"/>
              </w:rPr>
              <w:t>The Competence Management Procedure should be fully described in such a way that there is consistent delivery across the business.</w:t>
            </w:r>
          </w:p>
          <w:p w14:paraId="4233D20D" w14:textId="77777777" w:rsidR="00291FCB" w:rsidRPr="00291FCB" w:rsidRDefault="00291FCB" w:rsidP="00291FCB">
            <w:pPr>
              <w:widowControl/>
              <w:numPr>
                <w:ilvl w:val="0"/>
                <w:numId w:val="21"/>
              </w:numPr>
              <w:shd w:val="clear" w:color="auto" w:fill="FFFFFF"/>
              <w:autoSpaceDE/>
              <w:autoSpaceDN/>
              <w:rPr>
                <w:rFonts w:eastAsia="Times New Roman"/>
                <w:i/>
                <w:iCs/>
                <w:sz w:val="20"/>
                <w:szCs w:val="20"/>
                <w:highlight w:val="cyan"/>
                <w:lang w:val="en-GB" w:eastAsia="en-GB"/>
              </w:rPr>
            </w:pPr>
            <w:r w:rsidRPr="00291FCB">
              <w:rPr>
                <w:rFonts w:eastAsia="Times New Roman"/>
                <w:i/>
                <w:iCs/>
                <w:sz w:val="20"/>
                <w:szCs w:val="20"/>
                <w:highlight w:val="cyan"/>
                <w:lang w:val="en-GB" w:eastAsia="en-GB"/>
              </w:rPr>
              <w:t>Consider that allowing individual managers to set the standard without a Mechanism to measure may not deliver a consistent process.</w:t>
            </w:r>
          </w:p>
          <w:p w14:paraId="590E1343" w14:textId="77777777" w:rsidR="00291FCB" w:rsidRPr="00291FCB" w:rsidRDefault="00291FCB" w:rsidP="00291FCB">
            <w:pPr>
              <w:widowControl/>
              <w:numPr>
                <w:ilvl w:val="0"/>
                <w:numId w:val="21"/>
              </w:numPr>
              <w:shd w:val="clear" w:color="auto" w:fill="FFFFFF"/>
              <w:autoSpaceDE/>
              <w:autoSpaceDN/>
              <w:rPr>
                <w:rFonts w:eastAsia="Times New Roman"/>
                <w:i/>
                <w:iCs/>
                <w:sz w:val="20"/>
                <w:szCs w:val="20"/>
                <w:highlight w:val="cyan"/>
                <w:lang w:val="en-GB" w:eastAsia="en-GB"/>
              </w:rPr>
            </w:pPr>
            <w:r w:rsidRPr="00291FCB">
              <w:rPr>
                <w:rFonts w:eastAsia="Times New Roman"/>
                <w:i/>
                <w:iCs/>
                <w:sz w:val="20"/>
                <w:szCs w:val="20"/>
                <w:highlight w:val="cyan"/>
                <w:lang w:val="en-GB" w:eastAsia="en-GB"/>
              </w:rPr>
              <w:t>How are the various standards defined for each role?</w:t>
            </w:r>
          </w:p>
          <w:p w14:paraId="0C05E9AE" w14:textId="77777777" w:rsidR="00291FCB" w:rsidRPr="00291FCB" w:rsidRDefault="00291FCB" w:rsidP="00291FCB">
            <w:pPr>
              <w:widowControl/>
              <w:numPr>
                <w:ilvl w:val="0"/>
                <w:numId w:val="21"/>
              </w:numPr>
              <w:shd w:val="clear" w:color="auto" w:fill="FFFFFF"/>
              <w:autoSpaceDE/>
              <w:autoSpaceDN/>
              <w:rPr>
                <w:rFonts w:eastAsia="Times New Roman"/>
                <w:i/>
                <w:iCs/>
                <w:sz w:val="20"/>
                <w:szCs w:val="20"/>
                <w:highlight w:val="cyan"/>
                <w:lang w:val="en-GB" w:eastAsia="en-GB"/>
              </w:rPr>
            </w:pPr>
            <w:r w:rsidRPr="00291FCB">
              <w:rPr>
                <w:rFonts w:eastAsia="Times New Roman"/>
                <w:i/>
                <w:iCs/>
                <w:sz w:val="20"/>
                <w:szCs w:val="20"/>
                <w:highlight w:val="cyan"/>
                <w:lang w:val="en-GB" w:eastAsia="en-GB"/>
              </w:rPr>
              <w:t>Are the standards identified in sufficient detail to allow a consistent and standardized measurement to be delivered?</w:t>
            </w:r>
          </w:p>
          <w:p w14:paraId="59E260BF" w14:textId="77777777" w:rsidR="00291FCB" w:rsidRPr="00291FCB" w:rsidRDefault="00291FCB" w:rsidP="00291FCB">
            <w:pPr>
              <w:widowControl/>
              <w:numPr>
                <w:ilvl w:val="0"/>
                <w:numId w:val="21"/>
              </w:numPr>
              <w:shd w:val="clear" w:color="auto" w:fill="FFFFFF"/>
              <w:autoSpaceDE/>
              <w:autoSpaceDN/>
              <w:rPr>
                <w:rFonts w:eastAsia="Times New Roman"/>
                <w:i/>
                <w:iCs/>
                <w:sz w:val="20"/>
                <w:szCs w:val="20"/>
                <w:highlight w:val="cyan"/>
                <w:lang w:val="en-GB" w:eastAsia="en-GB"/>
              </w:rPr>
            </w:pPr>
            <w:r w:rsidRPr="00291FCB">
              <w:rPr>
                <w:rFonts w:eastAsia="Times New Roman"/>
                <w:i/>
                <w:iCs/>
                <w:sz w:val="20"/>
                <w:szCs w:val="20"/>
                <w:highlight w:val="cyan"/>
                <w:lang w:val="en-GB" w:eastAsia="en-GB"/>
              </w:rPr>
              <w:t>How is a consistent measure of the performance delivered?</w:t>
            </w:r>
          </w:p>
          <w:p w14:paraId="5CA6637D" w14:textId="77777777" w:rsidR="00291FCB" w:rsidRPr="00291FCB" w:rsidRDefault="00291FCB" w:rsidP="00291FCB">
            <w:pPr>
              <w:widowControl/>
              <w:numPr>
                <w:ilvl w:val="0"/>
                <w:numId w:val="21"/>
              </w:numPr>
              <w:shd w:val="clear" w:color="auto" w:fill="FFFFFF"/>
              <w:autoSpaceDE/>
              <w:autoSpaceDN/>
              <w:rPr>
                <w:rFonts w:eastAsia="Times New Roman"/>
                <w:i/>
                <w:iCs/>
                <w:sz w:val="20"/>
                <w:szCs w:val="20"/>
                <w:highlight w:val="cyan"/>
                <w:lang w:val="en-GB" w:eastAsia="en-GB"/>
              </w:rPr>
            </w:pPr>
            <w:r w:rsidRPr="00291FCB">
              <w:rPr>
                <w:rFonts w:eastAsia="Times New Roman"/>
                <w:i/>
                <w:iCs/>
                <w:sz w:val="20"/>
                <w:szCs w:val="20"/>
                <w:highlight w:val="cyan"/>
                <w:lang w:val="en-GB" w:eastAsia="en-GB"/>
              </w:rPr>
              <w:t>What processes, techniques, or mechanisms are available to promote effective measurement of performance?</w:t>
            </w:r>
          </w:p>
          <w:p w14:paraId="7643A606" w14:textId="77777777" w:rsidR="00291FCB" w:rsidRPr="00291FCB" w:rsidRDefault="00291FCB" w:rsidP="00291FCB">
            <w:pPr>
              <w:widowControl/>
              <w:shd w:val="clear" w:color="auto" w:fill="FFFFFF"/>
              <w:autoSpaceDE/>
              <w:autoSpaceDN/>
              <w:rPr>
                <w:rFonts w:eastAsia="Times New Roman"/>
                <w:i/>
                <w:iCs/>
                <w:sz w:val="20"/>
                <w:szCs w:val="20"/>
                <w:highlight w:val="cyan"/>
                <w:lang w:val="en-GB" w:eastAsia="en-GB"/>
              </w:rPr>
            </w:pPr>
            <w:r w:rsidRPr="00291FCB">
              <w:rPr>
                <w:rFonts w:eastAsia="Times New Roman"/>
                <w:b/>
                <w:bCs/>
                <w:i/>
                <w:iCs/>
                <w:sz w:val="20"/>
                <w:szCs w:val="20"/>
                <w:highlight w:val="cyan"/>
                <w:lang w:val="en-GB" w:eastAsia="en-GB"/>
              </w:rPr>
              <w:t>Competence may be assessed by evaluation of:</w:t>
            </w:r>
          </w:p>
          <w:p w14:paraId="1C451870" w14:textId="77777777" w:rsidR="00291FCB" w:rsidRPr="00291FCB" w:rsidRDefault="00291FCB" w:rsidP="00291FCB">
            <w:pPr>
              <w:widowControl/>
              <w:numPr>
                <w:ilvl w:val="0"/>
                <w:numId w:val="22"/>
              </w:numPr>
              <w:shd w:val="clear" w:color="auto" w:fill="FFFFFF"/>
              <w:autoSpaceDE/>
              <w:autoSpaceDN/>
              <w:rPr>
                <w:rFonts w:eastAsia="Times New Roman"/>
                <w:i/>
                <w:iCs/>
                <w:sz w:val="20"/>
                <w:szCs w:val="20"/>
                <w:highlight w:val="cyan"/>
                <w:lang w:val="en-GB" w:eastAsia="en-GB"/>
              </w:rPr>
            </w:pPr>
            <w:r w:rsidRPr="00291FCB">
              <w:rPr>
                <w:rFonts w:eastAsia="Times New Roman"/>
                <w:i/>
                <w:iCs/>
                <w:sz w:val="20"/>
                <w:szCs w:val="20"/>
                <w:highlight w:val="cyan"/>
                <w:lang w:val="en-GB" w:eastAsia="en-GB"/>
              </w:rPr>
              <w:lastRenderedPageBreak/>
              <w:t>On-the-job performance and/or</w:t>
            </w:r>
          </w:p>
          <w:p w14:paraId="21C735AA" w14:textId="77777777" w:rsidR="00291FCB" w:rsidRPr="00291FCB" w:rsidRDefault="00291FCB" w:rsidP="00291FCB">
            <w:pPr>
              <w:widowControl/>
              <w:numPr>
                <w:ilvl w:val="0"/>
                <w:numId w:val="22"/>
              </w:numPr>
              <w:shd w:val="clear" w:color="auto" w:fill="FFFFFF"/>
              <w:autoSpaceDE/>
              <w:autoSpaceDN/>
              <w:rPr>
                <w:rFonts w:eastAsia="Times New Roman"/>
                <w:i/>
                <w:iCs/>
                <w:sz w:val="20"/>
                <w:szCs w:val="20"/>
                <w:highlight w:val="cyan"/>
                <w:lang w:val="en-GB" w:eastAsia="en-GB"/>
              </w:rPr>
            </w:pPr>
            <w:r w:rsidRPr="00291FCB">
              <w:rPr>
                <w:rFonts w:eastAsia="Times New Roman"/>
                <w:i/>
                <w:iCs/>
                <w:sz w:val="20"/>
                <w:szCs w:val="20"/>
                <w:highlight w:val="cyan"/>
                <w:lang w:val="en-GB" w:eastAsia="en-GB"/>
              </w:rPr>
              <w:t>Testing of knowledge by appropriately qualified personnel, and</w:t>
            </w:r>
          </w:p>
          <w:p w14:paraId="72627E57" w14:textId="77777777" w:rsidR="00291FCB" w:rsidRPr="00291FCB" w:rsidRDefault="00291FCB" w:rsidP="00291FCB">
            <w:pPr>
              <w:widowControl/>
              <w:numPr>
                <w:ilvl w:val="0"/>
                <w:numId w:val="22"/>
              </w:numPr>
              <w:shd w:val="clear" w:color="auto" w:fill="FFFFFF"/>
              <w:autoSpaceDE/>
              <w:autoSpaceDN/>
              <w:rPr>
                <w:rFonts w:eastAsia="Times New Roman"/>
                <w:i/>
                <w:iCs/>
                <w:sz w:val="20"/>
                <w:szCs w:val="20"/>
                <w:highlight w:val="cyan"/>
                <w:lang w:val="en-GB" w:eastAsia="en-GB"/>
              </w:rPr>
            </w:pPr>
            <w:r w:rsidRPr="00291FCB">
              <w:rPr>
                <w:rFonts w:eastAsia="Times New Roman"/>
                <w:i/>
                <w:iCs/>
                <w:sz w:val="20"/>
                <w:szCs w:val="20"/>
                <w:highlight w:val="cyan"/>
                <w:lang w:val="en-GB" w:eastAsia="en-GB"/>
              </w:rPr>
              <w:t>Experience records.</w:t>
            </w:r>
          </w:p>
          <w:p w14:paraId="4795C9AA" w14:textId="77777777" w:rsidR="00291FCB" w:rsidRPr="00291FCB" w:rsidRDefault="00291FCB" w:rsidP="00291FCB">
            <w:pPr>
              <w:widowControl/>
              <w:numPr>
                <w:ilvl w:val="0"/>
                <w:numId w:val="22"/>
              </w:numPr>
              <w:shd w:val="clear" w:color="auto" w:fill="FFFFFF"/>
              <w:autoSpaceDE/>
              <w:autoSpaceDN/>
              <w:rPr>
                <w:rFonts w:eastAsia="Times New Roman"/>
                <w:i/>
                <w:iCs/>
                <w:sz w:val="20"/>
                <w:szCs w:val="20"/>
                <w:highlight w:val="cyan"/>
                <w:lang w:val="en-GB" w:eastAsia="en-GB"/>
              </w:rPr>
            </w:pPr>
            <w:r w:rsidRPr="00291FCB">
              <w:rPr>
                <w:rFonts w:eastAsia="Times New Roman"/>
                <w:i/>
                <w:iCs/>
                <w:sz w:val="20"/>
                <w:szCs w:val="20"/>
                <w:highlight w:val="cyan"/>
                <w:lang w:val="en-GB" w:eastAsia="en-GB"/>
              </w:rPr>
              <w:t xml:space="preserve">There are a number of ways in which Competence may be assessed and the organization has the prerogative to determine the processes which best suit its </w:t>
            </w:r>
            <w:proofErr w:type="gramStart"/>
            <w:r w:rsidRPr="00291FCB">
              <w:rPr>
                <w:rFonts w:eastAsia="Times New Roman"/>
                <w:i/>
                <w:iCs/>
                <w:sz w:val="20"/>
                <w:szCs w:val="20"/>
                <w:highlight w:val="cyan"/>
                <w:lang w:val="en-GB" w:eastAsia="en-GB"/>
              </w:rPr>
              <w:t>organization</w:t>
            </w:r>
            <w:proofErr w:type="gramEnd"/>
          </w:p>
          <w:p w14:paraId="5866548D" w14:textId="77777777" w:rsidR="00291FCB" w:rsidRPr="00291FCB" w:rsidRDefault="00291FCB" w:rsidP="00291FCB">
            <w:pPr>
              <w:widowControl/>
              <w:numPr>
                <w:ilvl w:val="0"/>
                <w:numId w:val="22"/>
              </w:numPr>
              <w:shd w:val="clear" w:color="auto" w:fill="FFFFFF"/>
              <w:autoSpaceDE/>
              <w:autoSpaceDN/>
              <w:rPr>
                <w:rFonts w:eastAsia="Times New Roman"/>
                <w:i/>
                <w:iCs/>
                <w:sz w:val="20"/>
                <w:szCs w:val="20"/>
                <w:highlight w:val="cyan"/>
                <w:lang w:val="en-GB" w:eastAsia="en-GB"/>
              </w:rPr>
            </w:pPr>
            <w:r w:rsidRPr="00291FCB">
              <w:rPr>
                <w:rFonts w:eastAsia="Times New Roman"/>
                <w:i/>
                <w:iCs/>
                <w:sz w:val="20"/>
                <w:szCs w:val="20"/>
                <w:highlight w:val="cyan"/>
                <w:lang w:val="en-GB" w:eastAsia="en-GB"/>
              </w:rPr>
              <w:t>For each of the chosen techniques the organization should be able to:</w:t>
            </w:r>
          </w:p>
          <w:p w14:paraId="68C67E3C" w14:textId="77777777" w:rsidR="00291FCB" w:rsidRPr="00291FCB" w:rsidRDefault="00291FCB" w:rsidP="00291FCB">
            <w:pPr>
              <w:widowControl/>
              <w:shd w:val="clear" w:color="auto" w:fill="FFFFFF"/>
              <w:autoSpaceDE/>
              <w:autoSpaceDN/>
              <w:rPr>
                <w:rFonts w:eastAsia="Times New Roman"/>
                <w:i/>
                <w:iCs/>
                <w:sz w:val="20"/>
                <w:szCs w:val="20"/>
                <w:lang w:val="en-GB" w:eastAsia="en-GB"/>
              </w:rPr>
            </w:pPr>
            <w:r w:rsidRPr="00291FCB">
              <w:rPr>
                <w:rFonts w:eastAsia="Times New Roman"/>
                <w:i/>
                <w:iCs/>
                <w:sz w:val="20"/>
                <w:szCs w:val="20"/>
                <w:highlight w:val="cyan"/>
                <w:lang w:val="en-GB" w:eastAsia="en-GB"/>
              </w:rPr>
              <w:t>o   Demonstrate it works?</w:t>
            </w:r>
            <w:r w:rsidRPr="00291FCB">
              <w:rPr>
                <w:rFonts w:eastAsia="Times New Roman"/>
                <w:i/>
                <w:iCs/>
                <w:sz w:val="20"/>
                <w:szCs w:val="20"/>
                <w:highlight w:val="cyan"/>
                <w:lang w:val="en-GB" w:eastAsia="en-GB"/>
              </w:rPr>
              <w:br/>
              <w:t>o   Demonstrate the measure of Effectiveness</w:t>
            </w:r>
            <w:r w:rsidRPr="00291FCB">
              <w:rPr>
                <w:rFonts w:eastAsia="Times New Roman"/>
                <w:i/>
                <w:iCs/>
                <w:sz w:val="20"/>
                <w:szCs w:val="20"/>
                <w:highlight w:val="cyan"/>
                <w:lang w:val="en-GB" w:eastAsia="en-GB"/>
              </w:rPr>
              <w:br/>
              <w:t>o   Show how it is managed</w:t>
            </w:r>
            <w:r w:rsidRPr="00291FCB">
              <w:rPr>
                <w:rFonts w:eastAsia="Times New Roman"/>
                <w:i/>
                <w:iCs/>
                <w:sz w:val="20"/>
                <w:szCs w:val="20"/>
                <w:highlight w:val="cyan"/>
                <w:lang w:val="en-GB" w:eastAsia="en-GB"/>
              </w:rPr>
              <w:br/>
              <w:t>o   Identify how the standard of testing is maintained (assessment, testing &amp; training of testers)</w:t>
            </w:r>
          </w:p>
          <w:p w14:paraId="62253B5F" w14:textId="77777777" w:rsidR="00291FCB" w:rsidRPr="00291FCB" w:rsidRDefault="00291FCB" w:rsidP="006C28B4">
            <w:pPr>
              <w:pStyle w:val="TableParagraph"/>
              <w:jc w:val="both"/>
              <w:rPr>
                <w:b/>
                <w:bCs/>
              </w:rPr>
            </w:pPr>
          </w:p>
          <w:p w14:paraId="6D21AAAC" w14:textId="77777777" w:rsidR="006C28B4" w:rsidRDefault="006C28B4" w:rsidP="006C28B4">
            <w:pPr>
              <w:pStyle w:val="TableParagraph"/>
              <w:jc w:val="both"/>
            </w:pPr>
          </w:p>
          <w:p w14:paraId="237460AE" w14:textId="5694000F" w:rsidR="00C518C8" w:rsidRPr="00647207" w:rsidRDefault="006C28B4" w:rsidP="006C28B4">
            <w:pPr>
              <w:pStyle w:val="TableParagraph"/>
              <w:jc w:val="both"/>
              <w:rPr>
                <w:i/>
                <w:iCs/>
                <w:sz w:val="20"/>
                <w:szCs w:val="20"/>
                <w:highlight w:val="cyan"/>
              </w:rPr>
            </w:pPr>
            <w:r w:rsidRPr="00647207">
              <w:rPr>
                <w:b/>
                <w:bCs/>
                <w:i/>
                <w:iCs/>
                <w:sz w:val="20"/>
                <w:szCs w:val="20"/>
                <w:highlight w:val="cyan"/>
              </w:rPr>
              <w:t>Documentation of key processes</w:t>
            </w:r>
            <w:r w:rsidRPr="00647207">
              <w:rPr>
                <w:i/>
                <w:iCs/>
                <w:sz w:val="20"/>
                <w:szCs w:val="20"/>
                <w:highlight w:val="cyan"/>
              </w:rPr>
              <w:t>: A</w:t>
            </w:r>
            <w:r w:rsidR="00C518C8" w:rsidRPr="00647207">
              <w:rPr>
                <w:i/>
                <w:iCs/>
                <w:sz w:val="20"/>
                <w:szCs w:val="20"/>
                <w:highlight w:val="cyan"/>
              </w:rPr>
              <w:t>ll key processes within the management system must be documented. This includes processes for making personnel aware of their responsibilities and procedures for amending this documentation.</w:t>
            </w:r>
          </w:p>
          <w:p w14:paraId="159247BA" w14:textId="77777777" w:rsidR="006C28B4" w:rsidRPr="00647207" w:rsidRDefault="006C28B4" w:rsidP="006C28B4">
            <w:pPr>
              <w:pStyle w:val="TableParagraph"/>
              <w:jc w:val="both"/>
              <w:rPr>
                <w:i/>
                <w:iCs/>
                <w:sz w:val="20"/>
                <w:szCs w:val="20"/>
                <w:highlight w:val="cyan"/>
              </w:rPr>
            </w:pPr>
          </w:p>
          <w:p w14:paraId="76F9198A" w14:textId="77777777" w:rsidR="00647207" w:rsidRPr="00647207" w:rsidRDefault="00647207" w:rsidP="00647207">
            <w:pPr>
              <w:rPr>
                <w:b/>
                <w:bCs/>
                <w:i/>
                <w:iCs/>
                <w:sz w:val="20"/>
                <w:szCs w:val="20"/>
                <w:highlight w:val="cyan"/>
              </w:rPr>
            </w:pPr>
            <w:r w:rsidRPr="00647207">
              <w:rPr>
                <w:b/>
                <w:bCs/>
                <w:i/>
                <w:iCs/>
                <w:sz w:val="20"/>
                <w:szCs w:val="20"/>
                <w:highlight w:val="cyan"/>
              </w:rPr>
              <w:t>Safety Policy and Objectives:</w:t>
            </w:r>
          </w:p>
          <w:p w14:paraId="4D55C129" w14:textId="77777777" w:rsidR="00647207" w:rsidRPr="00647207" w:rsidRDefault="00647207" w:rsidP="00647207">
            <w:pPr>
              <w:pStyle w:val="ListParagraph"/>
              <w:widowControl/>
              <w:numPr>
                <w:ilvl w:val="0"/>
                <w:numId w:val="27"/>
              </w:numPr>
              <w:autoSpaceDE/>
              <w:autoSpaceDN/>
              <w:spacing w:after="160" w:line="259" w:lineRule="auto"/>
              <w:contextualSpacing/>
              <w:rPr>
                <w:i/>
                <w:iCs/>
                <w:sz w:val="20"/>
                <w:szCs w:val="20"/>
                <w:highlight w:val="cyan"/>
              </w:rPr>
            </w:pPr>
            <w:r w:rsidRPr="00647207">
              <w:rPr>
                <w:i/>
                <w:iCs/>
                <w:sz w:val="20"/>
                <w:szCs w:val="20"/>
                <w:highlight w:val="cyan"/>
              </w:rPr>
              <w:t>Establishing a safety policy that is endorsed by top management.</w:t>
            </w:r>
          </w:p>
          <w:p w14:paraId="6DE02FD0" w14:textId="77777777" w:rsidR="00647207" w:rsidRPr="00647207" w:rsidRDefault="00647207" w:rsidP="00647207">
            <w:pPr>
              <w:pStyle w:val="ListParagraph"/>
              <w:widowControl/>
              <w:numPr>
                <w:ilvl w:val="0"/>
                <w:numId w:val="27"/>
              </w:numPr>
              <w:autoSpaceDE/>
              <w:autoSpaceDN/>
              <w:spacing w:after="160" w:line="259" w:lineRule="auto"/>
              <w:contextualSpacing/>
              <w:rPr>
                <w:i/>
                <w:iCs/>
                <w:sz w:val="20"/>
                <w:szCs w:val="20"/>
                <w:highlight w:val="cyan"/>
              </w:rPr>
            </w:pPr>
            <w:r w:rsidRPr="00647207">
              <w:rPr>
                <w:i/>
                <w:iCs/>
                <w:sz w:val="20"/>
                <w:szCs w:val="20"/>
                <w:highlight w:val="cyan"/>
              </w:rPr>
              <w:t xml:space="preserve">Clearly </w:t>
            </w:r>
            <w:proofErr w:type="gramStart"/>
            <w:r w:rsidRPr="00647207">
              <w:rPr>
                <w:i/>
                <w:iCs/>
                <w:sz w:val="20"/>
                <w:szCs w:val="20"/>
                <w:highlight w:val="cyan"/>
              </w:rPr>
              <w:t>defining</w:t>
            </w:r>
            <w:proofErr w:type="gramEnd"/>
            <w:r w:rsidRPr="00647207">
              <w:rPr>
                <w:i/>
                <w:iCs/>
                <w:sz w:val="20"/>
                <w:szCs w:val="20"/>
                <w:highlight w:val="cyan"/>
              </w:rPr>
              <w:t xml:space="preserve"> roles and responsibilities related to safety.</w:t>
            </w:r>
          </w:p>
          <w:p w14:paraId="4C972A4F" w14:textId="77777777" w:rsidR="00647207" w:rsidRPr="00647207" w:rsidRDefault="00647207" w:rsidP="00647207">
            <w:pPr>
              <w:pStyle w:val="ListParagraph"/>
              <w:widowControl/>
              <w:numPr>
                <w:ilvl w:val="0"/>
                <w:numId w:val="27"/>
              </w:numPr>
              <w:autoSpaceDE/>
              <w:autoSpaceDN/>
              <w:spacing w:after="160" w:line="259" w:lineRule="auto"/>
              <w:contextualSpacing/>
              <w:rPr>
                <w:i/>
                <w:iCs/>
                <w:sz w:val="20"/>
                <w:szCs w:val="20"/>
                <w:highlight w:val="cyan"/>
              </w:rPr>
            </w:pPr>
            <w:r w:rsidRPr="00647207">
              <w:rPr>
                <w:i/>
                <w:iCs/>
                <w:sz w:val="20"/>
                <w:szCs w:val="20"/>
                <w:highlight w:val="cyan"/>
              </w:rPr>
              <w:t>Setting measurable safety objectives.</w:t>
            </w:r>
          </w:p>
          <w:p w14:paraId="5E3EFA54" w14:textId="77777777" w:rsidR="00647207" w:rsidRPr="00647207" w:rsidRDefault="00647207" w:rsidP="00647207">
            <w:pPr>
              <w:rPr>
                <w:b/>
                <w:bCs/>
                <w:i/>
                <w:iCs/>
                <w:sz w:val="20"/>
                <w:szCs w:val="20"/>
                <w:highlight w:val="cyan"/>
              </w:rPr>
            </w:pPr>
            <w:r w:rsidRPr="00647207">
              <w:rPr>
                <w:b/>
                <w:bCs/>
                <w:i/>
                <w:iCs/>
                <w:sz w:val="20"/>
                <w:szCs w:val="20"/>
                <w:highlight w:val="cyan"/>
              </w:rPr>
              <w:t>Safety Risk Management:</w:t>
            </w:r>
          </w:p>
          <w:p w14:paraId="31165C5B" w14:textId="77777777" w:rsidR="00647207" w:rsidRPr="00647207" w:rsidRDefault="00647207" w:rsidP="00647207">
            <w:pPr>
              <w:pStyle w:val="ListParagraph"/>
              <w:widowControl/>
              <w:numPr>
                <w:ilvl w:val="0"/>
                <w:numId w:val="28"/>
              </w:numPr>
              <w:autoSpaceDE/>
              <w:autoSpaceDN/>
              <w:spacing w:after="160" w:line="259" w:lineRule="auto"/>
              <w:contextualSpacing/>
              <w:rPr>
                <w:i/>
                <w:iCs/>
                <w:sz w:val="20"/>
                <w:szCs w:val="20"/>
                <w:highlight w:val="cyan"/>
              </w:rPr>
            </w:pPr>
            <w:r w:rsidRPr="00647207">
              <w:rPr>
                <w:i/>
                <w:iCs/>
                <w:sz w:val="20"/>
                <w:szCs w:val="20"/>
                <w:highlight w:val="cyan"/>
              </w:rPr>
              <w:t>Hazard identification: Proactively identifying potential hazards in operations.</w:t>
            </w:r>
          </w:p>
          <w:p w14:paraId="41E1E1DB" w14:textId="77777777" w:rsidR="00647207" w:rsidRPr="00647207" w:rsidRDefault="00647207" w:rsidP="00647207">
            <w:pPr>
              <w:pStyle w:val="ListParagraph"/>
              <w:widowControl/>
              <w:numPr>
                <w:ilvl w:val="0"/>
                <w:numId w:val="28"/>
              </w:numPr>
              <w:autoSpaceDE/>
              <w:autoSpaceDN/>
              <w:spacing w:after="160" w:line="259" w:lineRule="auto"/>
              <w:contextualSpacing/>
              <w:rPr>
                <w:i/>
                <w:iCs/>
                <w:sz w:val="20"/>
                <w:szCs w:val="20"/>
                <w:highlight w:val="cyan"/>
              </w:rPr>
            </w:pPr>
            <w:r w:rsidRPr="00647207">
              <w:rPr>
                <w:i/>
                <w:iCs/>
                <w:sz w:val="20"/>
                <w:szCs w:val="20"/>
                <w:highlight w:val="cyan"/>
              </w:rPr>
              <w:t>Risk assessment and mitigation: Evaluating the risks associated with identified hazards and determining appropriate measures to mitigate or eliminate those risks.</w:t>
            </w:r>
          </w:p>
          <w:p w14:paraId="11A25D63" w14:textId="77777777" w:rsidR="00647207" w:rsidRPr="00647207" w:rsidRDefault="00647207" w:rsidP="00647207">
            <w:pPr>
              <w:rPr>
                <w:b/>
                <w:bCs/>
                <w:i/>
                <w:iCs/>
                <w:sz w:val="20"/>
                <w:szCs w:val="20"/>
                <w:highlight w:val="cyan"/>
              </w:rPr>
            </w:pPr>
            <w:r w:rsidRPr="00647207">
              <w:rPr>
                <w:b/>
                <w:bCs/>
                <w:i/>
                <w:iCs/>
                <w:sz w:val="20"/>
                <w:szCs w:val="20"/>
                <w:highlight w:val="cyan"/>
              </w:rPr>
              <w:t>Safety Assurance:</w:t>
            </w:r>
          </w:p>
          <w:p w14:paraId="1CE555BD" w14:textId="77777777" w:rsidR="00647207" w:rsidRPr="00647207" w:rsidRDefault="00647207" w:rsidP="00647207">
            <w:pPr>
              <w:pStyle w:val="ListParagraph"/>
              <w:widowControl/>
              <w:numPr>
                <w:ilvl w:val="0"/>
                <w:numId w:val="29"/>
              </w:numPr>
              <w:autoSpaceDE/>
              <w:autoSpaceDN/>
              <w:spacing w:after="160" w:line="259" w:lineRule="auto"/>
              <w:contextualSpacing/>
              <w:rPr>
                <w:i/>
                <w:iCs/>
                <w:sz w:val="20"/>
                <w:szCs w:val="20"/>
                <w:highlight w:val="cyan"/>
              </w:rPr>
            </w:pPr>
            <w:r w:rsidRPr="00647207">
              <w:rPr>
                <w:i/>
                <w:iCs/>
                <w:sz w:val="20"/>
                <w:szCs w:val="20"/>
                <w:highlight w:val="cyan"/>
              </w:rPr>
              <w:t>Safety performance monitoring and measurement: Using safety metrics and indicators to monitor the performance of the SMS.</w:t>
            </w:r>
          </w:p>
          <w:p w14:paraId="25170509" w14:textId="77777777" w:rsidR="00647207" w:rsidRPr="00647207" w:rsidRDefault="00647207" w:rsidP="00647207">
            <w:pPr>
              <w:pStyle w:val="ListParagraph"/>
              <w:widowControl/>
              <w:numPr>
                <w:ilvl w:val="0"/>
                <w:numId w:val="29"/>
              </w:numPr>
              <w:autoSpaceDE/>
              <w:autoSpaceDN/>
              <w:spacing w:after="160" w:line="259" w:lineRule="auto"/>
              <w:contextualSpacing/>
              <w:rPr>
                <w:i/>
                <w:iCs/>
                <w:sz w:val="20"/>
                <w:szCs w:val="20"/>
                <w:highlight w:val="cyan"/>
              </w:rPr>
            </w:pPr>
            <w:r w:rsidRPr="00647207">
              <w:rPr>
                <w:i/>
                <w:iCs/>
                <w:sz w:val="20"/>
                <w:szCs w:val="20"/>
                <w:highlight w:val="cyan"/>
              </w:rPr>
              <w:t>Management of change: Ensuring that changes (e.g., in procedures, equipment, or personnel) are managed in a way that does not adversely affect safety.</w:t>
            </w:r>
          </w:p>
          <w:p w14:paraId="7F28E7C8" w14:textId="77777777" w:rsidR="00647207" w:rsidRPr="00647207" w:rsidRDefault="00647207" w:rsidP="00647207">
            <w:pPr>
              <w:pStyle w:val="ListParagraph"/>
              <w:widowControl/>
              <w:numPr>
                <w:ilvl w:val="0"/>
                <w:numId w:val="29"/>
              </w:numPr>
              <w:autoSpaceDE/>
              <w:autoSpaceDN/>
              <w:spacing w:after="160" w:line="259" w:lineRule="auto"/>
              <w:contextualSpacing/>
              <w:rPr>
                <w:i/>
                <w:iCs/>
                <w:sz w:val="20"/>
                <w:szCs w:val="20"/>
                <w:highlight w:val="cyan"/>
              </w:rPr>
            </w:pPr>
            <w:r w:rsidRPr="00647207">
              <w:rPr>
                <w:i/>
                <w:iCs/>
                <w:sz w:val="20"/>
                <w:szCs w:val="20"/>
                <w:highlight w:val="cyan"/>
              </w:rPr>
              <w:t>Continuous improvement of the SMS: Regularly reviewing and updating the SMS to ensure its effectiveness.</w:t>
            </w:r>
          </w:p>
          <w:p w14:paraId="5F50E8BA" w14:textId="77777777" w:rsidR="00647207" w:rsidRPr="00647207" w:rsidRDefault="00647207" w:rsidP="00647207">
            <w:pPr>
              <w:rPr>
                <w:b/>
                <w:bCs/>
                <w:i/>
                <w:iCs/>
                <w:sz w:val="20"/>
                <w:szCs w:val="20"/>
                <w:highlight w:val="cyan"/>
              </w:rPr>
            </w:pPr>
            <w:r w:rsidRPr="00647207">
              <w:rPr>
                <w:b/>
                <w:bCs/>
                <w:i/>
                <w:iCs/>
                <w:sz w:val="20"/>
                <w:szCs w:val="20"/>
                <w:highlight w:val="cyan"/>
              </w:rPr>
              <w:t>Safety Promotion:</w:t>
            </w:r>
          </w:p>
          <w:p w14:paraId="3DFD1830" w14:textId="77777777" w:rsidR="00647207" w:rsidRPr="00647207" w:rsidRDefault="00647207" w:rsidP="00647207">
            <w:pPr>
              <w:pStyle w:val="ListParagraph"/>
              <w:widowControl/>
              <w:numPr>
                <w:ilvl w:val="0"/>
                <w:numId w:val="30"/>
              </w:numPr>
              <w:autoSpaceDE/>
              <w:autoSpaceDN/>
              <w:spacing w:after="160" w:line="259" w:lineRule="auto"/>
              <w:contextualSpacing/>
              <w:rPr>
                <w:i/>
                <w:iCs/>
                <w:sz w:val="20"/>
                <w:szCs w:val="20"/>
                <w:highlight w:val="cyan"/>
              </w:rPr>
            </w:pPr>
            <w:r w:rsidRPr="00647207">
              <w:rPr>
                <w:i/>
                <w:iCs/>
                <w:sz w:val="20"/>
                <w:szCs w:val="20"/>
                <w:highlight w:val="cyan"/>
              </w:rPr>
              <w:t>Training and education: Ensuring that all personnel are adequately trained and aware of safety policies, procedures, and their roles in the SMS.</w:t>
            </w:r>
          </w:p>
          <w:p w14:paraId="3195C381" w14:textId="77777777" w:rsidR="00647207" w:rsidRPr="00647207" w:rsidRDefault="00647207" w:rsidP="00647207">
            <w:pPr>
              <w:pStyle w:val="ListParagraph"/>
              <w:widowControl/>
              <w:numPr>
                <w:ilvl w:val="0"/>
                <w:numId w:val="30"/>
              </w:numPr>
              <w:autoSpaceDE/>
              <w:autoSpaceDN/>
              <w:spacing w:after="160" w:line="259" w:lineRule="auto"/>
              <w:contextualSpacing/>
              <w:rPr>
                <w:i/>
                <w:iCs/>
                <w:sz w:val="20"/>
                <w:szCs w:val="20"/>
                <w:highlight w:val="cyan"/>
              </w:rPr>
            </w:pPr>
            <w:r w:rsidRPr="00647207">
              <w:rPr>
                <w:i/>
                <w:iCs/>
                <w:sz w:val="20"/>
                <w:szCs w:val="20"/>
                <w:highlight w:val="cyan"/>
              </w:rPr>
              <w:t>Safety communication: Promoting a positive safety culture through effective communication about safety issues, lessons learned, and best practices.</w:t>
            </w:r>
          </w:p>
          <w:p w14:paraId="5979EC13" w14:textId="77777777" w:rsidR="00647207" w:rsidRPr="00647207" w:rsidRDefault="00647207" w:rsidP="00647207">
            <w:pPr>
              <w:rPr>
                <w:b/>
                <w:bCs/>
                <w:i/>
                <w:iCs/>
                <w:sz w:val="20"/>
                <w:szCs w:val="20"/>
                <w:highlight w:val="cyan"/>
              </w:rPr>
            </w:pPr>
            <w:r w:rsidRPr="00647207">
              <w:rPr>
                <w:b/>
                <w:bCs/>
                <w:i/>
                <w:iCs/>
                <w:sz w:val="20"/>
                <w:szCs w:val="20"/>
                <w:highlight w:val="cyan"/>
              </w:rPr>
              <w:t>Emergency Response Planning:</w:t>
            </w:r>
          </w:p>
          <w:p w14:paraId="3562884B" w14:textId="77777777" w:rsidR="00647207" w:rsidRPr="00647207" w:rsidRDefault="00647207" w:rsidP="00647207">
            <w:pPr>
              <w:pStyle w:val="ListParagraph"/>
              <w:widowControl/>
              <w:numPr>
                <w:ilvl w:val="0"/>
                <w:numId w:val="31"/>
              </w:numPr>
              <w:autoSpaceDE/>
              <w:autoSpaceDN/>
              <w:spacing w:after="160" w:line="259" w:lineRule="auto"/>
              <w:contextualSpacing/>
              <w:rPr>
                <w:i/>
                <w:iCs/>
                <w:sz w:val="20"/>
                <w:szCs w:val="20"/>
                <w:highlight w:val="cyan"/>
              </w:rPr>
            </w:pPr>
            <w:r w:rsidRPr="00647207">
              <w:rPr>
                <w:i/>
                <w:iCs/>
                <w:sz w:val="20"/>
                <w:szCs w:val="20"/>
                <w:highlight w:val="cyan"/>
              </w:rPr>
              <w:t>Developing and maintaining a plan to ensure a timely response to emergency situations.</w:t>
            </w:r>
          </w:p>
          <w:p w14:paraId="20137499" w14:textId="77777777" w:rsidR="00647207" w:rsidRPr="00647207" w:rsidRDefault="00647207" w:rsidP="00647207">
            <w:pPr>
              <w:rPr>
                <w:b/>
                <w:bCs/>
                <w:i/>
                <w:iCs/>
                <w:sz w:val="20"/>
                <w:szCs w:val="20"/>
                <w:highlight w:val="cyan"/>
              </w:rPr>
            </w:pPr>
            <w:r w:rsidRPr="00647207">
              <w:rPr>
                <w:b/>
                <w:bCs/>
                <w:i/>
                <w:iCs/>
                <w:sz w:val="20"/>
                <w:szCs w:val="20"/>
                <w:highlight w:val="cyan"/>
              </w:rPr>
              <w:t>Documentation and Record Keeping:</w:t>
            </w:r>
          </w:p>
          <w:p w14:paraId="256CD2C6" w14:textId="77777777" w:rsidR="00647207" w:rsidRPr="00647207" w:rsidRDefault="00647207" w:rsidP="00647207">
            <w:pPr>
              <w:pStyle w:val="ListParagraph"/>
              <w:widowControl/>
              <w:numPr>
                <w:ilvl w:val="0"/>
                <w:numId w:val="31"/>
              </w:numPr>
              <w:autoSpaceDE/>
              <w:autoSpaceDN/>
              <w:spacing w:after="160" w:line="259" w:lineRule="auto"/>
              <w:contextualSpacing/>
              <w:rPr>
                <w:i/>
                <w:iCs/>
                <w:sz w:val="20"/>
                <w:szCs w:val="20"/>
                <w:highlight w:val="cyan"/>
              </w:rPr>
            </w:pPr>
            <w:r w:rsidRPr="00647207">
              <w:rPr>
                <w:i/>
                <w:iCs/>
                <w:sz w:val="20"/>
                <w:szCs w:val="20"/>
                <w:highlight w:val="cyan"/>
              </w:rPr>
              <w:t>Maintaining documentation related to the SMS, including policies, procedures, risk assessments, and training records.</w:t>
            </w:r>
          </w:p>
          <w:p w14:paraId="5ADEAA74" w14:textId="77777777" w:rsidR="00647207" w:rsidRPr="00647207" w:rsidRDefault="00647207" w:rsidP="00647207">
            <w:pPr>
              <w:pStyle w:val="ListParagraph"/>
              <w:widowControl/>
              <w:numPr>
                <w:ilvl w:val="0"/>
                <w:numId w:val="31"/>
              </w:numPr>
              <w:autoSpaceDE/>
              <w:autoSpaceDN/>
              <w:spacing w:after="160" w:line="259" w:lineRule="auto"/>
              <w:contextualSpacing/>
              <w:rPr>
                <w:i/>
                <w:iCs/>
                <w:sz w:val="20"/>
                <w:szCs w:val="20"/>
                <w:highlight w:val="cyan"/>
              </w:rPr>
            </w:pPr>
            <w:r w:rsidRPr="00647207">
              <w:rPr>
                <w:i/>
                <w:iCs/>
                <w:sz w:val="20"/>
                <w:szCs w:val="20"/>
                <w:highlight w:val="cyan"/>
              </w:rPr>
              <w:t>Ensuring that safety data and reports are recorded, stored, and easily retrievable.</w:t>
            </w:r>
          </w:p>
          <w:p w14:paraId="2B3E0AA5" w14:textId="77777777" w:rsidR="00647207" w:rsidRPr="00647207" w:rsidRDefault="00647207" w:rsidP="00647207">
            <w:pPr>
              <w:rPr>
                <w:b/>
                <w:bCs/>
                <w:i/>
                <w:iCs/>
                <w:sz w:val="20"/>
                <w:szCs w:val="20"/>
                <w:highlight w:val="cyan"/>
              </w:rPr>
            </w:pPr>
            <w:r w:rsidRPr="00647207">
              <w:rPr>
                <w:b/>
                <w:bCs/>
                <w:i/>
                <w:iCs/>
                <w:sz w:val="20"/>
                <w:szCs w:val="20"/>
                <w:highlight w:val="cyan"/>
              </w:rPr>
              <w:t>Safety Reporting:</w:t>
            </w:r>
          </w:p>
          <w:p w14:paraId="062B2201" w14:textId="77777777" w:rsidR="00647207" w:rsidRPr="00647207" w:rsidRDefault="00647207" w:rsidP="00647207">
            <w:pPr>
              <w:pStyle w:val="ListParagraph"/>
              <w:widowControl/>
              <w:numPr>
                <w:ilvl w:val="0"/>
                <w:numId w:val="32"/>
              </w:numPr>
              <w:autoSpaceDE/>
              <w:autoSpaceDN/>
              <w:spacing w:after="160" w:line="259" w:lineRule="auto"/>
              <w:contextualSpacing/>
              <w:rPr>
                <w:i/>
                <w:iCs/>
                <w:sz w:val="20"/>
                <w:szCs w:val="20"/>
                <w:highlight w:val="cyan"/>
              </w:rPr>
            </w:pPr>
            <w:r w:rsidRPr="00647207">
              <w:rPr>
                <w:i/>
                <w:iCs/>
                <w:sz w:val="20"/>
                <w:szCs w:val="20"/>
                <w:highlight w:val="cyan"/>
              </w:rPr>
              <w:t>Establishing a system where employees can report safety concerns, incidents, or potential hazards without fear of reprisal.</w:t>
            </w:r>
          </w:p>
          <w:p w14:paraId="3FC42D78" w14:textId="77777777" w:rsidR="00647207" w:rsidRPr="00647207" w:rsidRDefault="00647207" w:rsidP="00647207">
            <w:pPr>
              <w:pStyle w:val="ListParagraph"/>
              <w:widowControl/>
              <w:numPr>
                <w:ilvl w:val="0"/>
                <w:numId w:val="32"/>
              </w:numPr>
              <w:autoSpaceDE/>
              <w:autoSpaceDN/>
              <w:spacing w:after="160" w:line="259" w:lineRule="auto"/>
              <w:contextualSpacing/>
              <w:rPr>
                <w:i/>
                <w:iCs/>
                <w:sz w:val="20"/>
                <w:szCs w:val="20"/>
                <w:highlight w:val="cyan"/>
              </w:rPr>
            </w:pPr>
            <w:r w:rsidRPr="00647207">
              <w:rPr>
                <w:i/>
                <w:iCs/>
                <w:sz w:val="20"/>
                <w:szCs w:val="20"/>
                <w:highlight w:val="cyan"/>
              </w:rPr>
              <w:t>Analyzing safety reports to identify trends and areas for improvement.</w:t>
            </w:r>
          </w:p>
          <w:p w14:paraId="64113BC5" w14:textId="77777777" w:rsidR="00647207" w:rsidRPr="00647207" w:rsidRDefault="00647207" w:rsidP="00647207">
            <w:pPr>
              <w:rPr>
                <w:b/>
                <w:bCs/>
                <w:i/>
                <w:iCs/>
                <w:sz w:val="20"/>
                <w:szCs w:val="20"/>
                <w:highlight w:val="cyan"/>
              </w:rPr>
            </w:pPr>
            <w:r w:rsidRPr="00647207">
              <w:rPr>
                <w:b/>
                <w:bCs/>
                <w:i/>
                <w:iCs/>
                <w:sz w:val="20"/>
                <w:szCs w:val="20"/>
                <w:highlight w:val="cyan"/>
              </w:rPr>
              <w:t>Safety Culture:</w:t>
            </w:r>
          </w:p>
          <w:p w14:paraId="042ED2FB" w14:textId="77777777" w:rsidR="00647207" w:rsidRPr="00647207" w:rsidRDefault="00647207" w:rsidP="00647207">
            <w:pPr>
              <w:pStyle w:val="ListParagraph"/>
              <w:widowControl/>
              <w:numPr>
                <w:ilvl w:val="0"/>
                <w:numId w:val="33"/>
              </w:numPr>
              <w:autoSpaceDE/>
              <w:autoSpaceDN/>
              <w:spacing w:after="160" w:line="259" w:lineRule="auto"/>
              <w:contextualSpacing/>
              <w:rPr>
                <w:i/>
                <w:iCs/>
                <w:sz w:val="20"/>
                <w:szCs w:val="20"/>
                <w:highlight w:val="cyan"/>
              </w:rPr>
            </w:pPr>
            <w:r w:rsidRPr="00647207">
              <w:rPr>
                <w:i/>
                <w:iCs/>
                <w:sz w:val="20"/>
                <w:szCs w:val="20"/>
                <w:highlight w:val="cyan"/>
              </w:rPr>
              <w:t>Promoting a culture where safety is a primary concern, and employees feel empowered to speak up about safety concerns.</w:t>
            </w:r>
          </w:p>
          <w:p w14:paraId="13609591" w14:textId="77777777" w:rsidR="00647207" w:rsidRDefault="00647207" w:rsidP="00647207">
            <w:pPr>
              <w:pStyle w:val="ListParagraph"/>
              <w:widowControl/>
              <w:numPr>
                <w:ilvl w:val="0"/>
                <w:numId w:val="33"/>
              </w:numPr>
              <w:autoSpaceDE/>
              <w:autoSpaceDN/>
              <w:spacing w:after="160" w:line="259" w:lineRule="auto"/>
              <w:contextualSpacing/>
            </w:pPr>
            <w:r w:rsidRPr="00647207">
              <w:rPr>
                <w:i/>
                <w:iCs/>
                <w:sz w:val="20"/>
                <w:szCs w:val="20"/>
                <w:highlight w:val="cyan"/>
              </w:rPr>
              <w:t>Encouraging a just culture where mistakes are seen as opportunities for learning rather than solely for punishment</w:t>
            </w:r>
            <w:r>
              <w:t>.</w:t>
            </w:r>
          </w:p>
          <w:p w14:paraId="5D2D2C40" w14:textId="77777777" w:rsidR="00647207" w:rsidRDefault="00647207" w:rsidP="006C28B4">
            <w:pPr>
              <w:pStyle w:val="TableParagraph"/>
              <w:jc w:val="both"/>
            </w:pPr>
          </w:p>
          <w:p w14:paraId="01DFD522" w14:textId="77777777" w:rsidR="00A570A6" w:rsidRDefault="006C28B4" w:rsidP="006C28B4">
            <w:pPr>
              <w:pStyle w:val="TableParagraph"/>
              <w:ind w:left="0"/>
              <w:jc w:val="both"/>
            </w:pPr>
            <w:r w:rsidRPr="006C28B4">
              <w:rPr>
                <w:b/>
                <w:bCs/>
              </w:rPr>
              <w:t>Compliance monitoring</w:t>
            </w:r>
            <w:r>
              <w:t>: T</w:t>
            </w:r>
            <w:r w:rsidR="00C518C8">
              <w:t xml:space="preserve">he organization is required to have a function dedicated to monitoring its compliance with relevant regulations and requirements. </w:t>
            </w:r>
          </w:p>
          <w:p w14:paraId="3B3CF63D" w14:textId="77777777" w:rsidR="00A570A6" w:rsidRDefault="00A570A6" w:rsidP="006C28B4">
            <w:pPr>
              <w:pStyle w:val="TableParagraph"/>
              <w:ind w:left="0"/>
              <w:jc w:val="both"/>
            </w:pPr>
          </w:p>
          <w:p w14:paraId="22E02710" w14:textId="77777777" w:rsidR="005A3887" w:rsidRDefault="00C518C8" w:rsidP="005A3887">
            <w:pPr>
              <w:pStyle w:val="TableParagraph"/>
              <w:ind w:left="0"/>
              <w:jc w:val="both"/>
            </w:pPr>
            <w:r>
              <w:lastRenderedPageBreak/>
              <w:t>This monitoring process should include a feedback system to report findings to the accountable manager, ensuring the effective implementation of corrective actions when necessary.</w:t>
            </w:r>
          </w:p>
          <w:p w14:paraId="27CB3D42" w14:textId="77777777" w:rsidR="005A3887" w:rsidRPr="005A3887" w:rsidRDefault="005A3887" w:rsidP="005A3887">
            <w:pPr>
              <w:pStyle w:val="TableParagraph"/>
              <w:ind w:left="0"/>
              <w:jc w:val="both"/>
              <w:rPr>
                <w:i/>
                <w:iCs/>
              </w:rPr>
            </w:pPr>
          </w:p>
          <w:p w14:paraId="200D321E" w14:textId="1F30F304" w:rsidR="005A3887" w:rsidRPr="005A3887" w:rsidRDefault="005A3887" w:rsidP="005A3887">
            <w:pPr>
              <w:pStyle w:val="TableParagraph"/>
              <w:ind w:left="0"/>
              <w:jc w:val="both"/>
              <w:rPr>
                <w:i/>
                <w:iCs/>
              </w:rPr>
            </w:pPr>
            <w:r w:rsidRPr="005A3887">
              <w:rPr>
                <w:i/>
                <w:iCs/>
                <w:highlight w:val="cyan"/>
              </w:rPr>
              <w:t xml:space="preserve">Look for evidence to support an active feedback &amp; mitigation loop – </w:t>
            </w:r>
            <w:proofErr w:type="gramStart"/>
            <w:r w:rsidRPr="005A3887">
              <w:rPr>
                <w:i/>
                <w:iCs/>
                <w:highlight w:val="cyan"/>
              </w:rPr>
              <w:t>AM</w:t>
            </w:r>
            <w:proofErr w:type="gramEnd"/>
            <w:r w:rsidRPr="005A3887">
              <w:rPr>
                <w:i/>
                <w:iCs/>
              </w:rPr>
              <w:t xml:space="preserve"> </w:t>
            </w:r>
          </w:p>
          <w:p w14:paraId="27CAD8E3" w14:textId="26284A9F" w:rsidR="005A3887" w:rsidRPr="005A3887" w:rsidRDefault="005A3887" w:rsidP="005A3887">
            <w:pPr>
              <w:pStyle w:val="TableParagraph"/>
              <w:ind w:left="0"/>
              <w:jc w:val="both"/>
            </w:pPr>
          </w:p>
        </w:tc>
      </w:tr>
      <w:tr w:rsidR="003D029F" w14:paraId="7FDD869B" w14:textId="77777777" w:rsidTr="006C28B4">
        <w:trPr>
          <w:trHeight w:val="1103"/>
        </w:trPr>
        <w:tc>
          <w:tcPr>
            <w:tcW w:w="4815" w:type="dxa"/>
            <w:tcBorders>
              <w:top w:val="single" w:sz="4" w:space="0" w:color="auto"/>
            </w:tcBorders>
          </w:tcPr>
          <w:p w14:paraId="141A2AB0" w14:textId="77777777" w:rsidR="003D029F" w:rsidRDefault="00000000">
            <w:pPr>
              <w:pStyle w:val="TableParagraph"/>
              <w:spacing w:line="274" w:lineRule="exact"/>
              <w:ind w:left="1693" w:right="1683"/>
              <w:jc w:val="center"/>
              <w:rPr>
                <w:sz w:val="24"/>
              </w:rPr>
            </w:pPr>
            <w:r>
              <w:rPr>
                <w:sz w:val="24"/>
              </w:rPr>
              <w:lastRenderedPageBreak/>
              <w:t>Audit Criteria</w:t>
            </w:r>
          </w:p>
        </w:tc>
        <w:tc>
          <w:tcPr>
            <w:tcW w:w="4203" w:type="dxa"/>
            <w:tcBorders>
              <w:top w:val="single" w:sz="4" w:space="0" w:color="auto"/>
            </w:tcBorders>
          </w:tcPr>
          <w:p w14:paraId="4AE46632" w14:textId="77777777" w:rsidR="003D029F" w:rsidRDefault="00000000">
            <w:pPr>
              <w:pStyle w:val="TableParagraph"/>
              <w:spacing w:line="274" w:lineRule="exact"/>
              <w:ind w:left="108"/>
              <w:rPr>
                <w:sz w:val="24"/>
              </w:rPr>
            </w:pPr>
            <w:r>
              <w:rPr>
                <w:sz w:val="24"/>
              </w:rPr>
              <w:t>Compliant Y or N – Provide MOE</w:t>
            </w:r>
          </w:p>
          <w:p w14:paraId="37317836" w14:textId="77777777" w:rsidR="003D029F" w:rsidRDefault="00000000">
            <w:pPr>
              <w:pStyle w:val="TableParagraph"/>
              <w:spacing w:line="270" w:lineRule="atLeast"/>
              <w:ind w:left="108" w:right="236"/>
              <w:rPr>
                <w:sz w:val="24"/>
              </w:rPr>
            </w:pPr>
            <w:r>
              <w:rPr>
                <w:sz w:val="24"/>
              </w:rPr>
              <w:t>/Associated Procedure Reference for Compliance or detail Corrective Action Request &amp; Reference</w:t>
            </w:r>
          </w:p>
        </w:tc>
      </w:tr>
      <w:tr w:rsidR="00C518C8" w14:paraId="04C69E5E" w14:textId="77777777">
        <w:trPr>
          <w:trHeight w:val="1379"/>
        </w:trPr>
        <w:tc>
          <w:tcPr>
            <w:tcW w:w="4815" w:type="dxa"/>
          </w:tcPr>
          <w:p w14:paraId="6594B512" w14:textId="77777777" w:rsidR="001223F2" w:rsidRPr="001223F2" w:rsidRDefault="001223F2">
            <w:pPr>
              <w:pStyle w:val="TableParagraph"/>
              <w:ind w:right="248"/>
              <w:rPr>
                <w:b/>
                <w:bCs/>
              </w:rPr>
            </w:pPr>
            <w:r w:rsidRPr="001223F2">
              <w:rPr>
                <w:b/>
                <w:bCs/>
              </w:rPr>
              <w:t xml:space="preserve">145.A.200 Management system </w:t>
            </w:r>
          </w:p>
          <w:p w14:paraId="5639C4E8" w14:textId="77777777" w:rsidR="001223F2" w:rsidRDefault="001223F2">
            <w:pPr>
              <w:pStyle w:val="TableParagraph"/>
              <w:ind w:right="248"/>
            </w:pPr>
            <w:r>
              <w:t xml:space="preserve">Regulation (EU) 2021/1963 </w:t>
            </w:r>
          </w:p>
          <w:p w14:paraId="24E8DE04" w14:textId="77777777" w:rsidR="001223F2" w:rsidRDefault="001223F2">
            <w:pPr>
              <w:pStyle w:val="TableParagraph"/>
              <w:ind w:right="248"/>
            </w:pPr>
          </w:p>
          <w:p w14:paraId="76B23073" w14:textId="77777777" w:rsidR="001223F2" w:rsidRDefault="001223F2">
            <w:pPr>
              <w:pStyle w:val="TableParagraph"/>
              <w:ind w:right="248"/>
            </w:pPr>
            <w:r>
              <w:t xml:space="preserve">(a) The organisation shall establish, </w:t>
            </w:r>
            <w:proofErr w:type="gramStart"/>
            <w:r>
              <w:t>implement</w:t>
            </w:r>
            <w:proofErr w:type="gramEnd"/>
            <w:r>
              <w:t xml:space="preserve"> and maintain a management system that includes: </w:t>
            </w:r>
          </w:p>
          <w:p w14:paraId="02994EC7" w14:textId="77777777" w:rsidR="001223F2" w:rsidRDefault="001223F2">
            <w:pPr>
              <w:pStyle w:val="TableParagraph"/>
              <w:ind w:right="248"/>
            </w:pPr>
          </w:p>
          <w:p w14:paraId="323B1E2B" w14:textId="075154CB" w:rsidR="001223F2" w:rsidRDefault="001223F2">
            <w:pPr>
              <w:pStyle w:val="TableParagraph"/>
              <w:ind w:right="248"/>
            </w:pPr>
            <w:r>
              <w:t xml:space="preserve">(1) clearly defined accountability and responsibility throughout the organisation, </w:t>
            </w:r>
            <w:r w:rsidR="00E73CE1">
              <w:t xml:space="preserve">(AM Safety Accountability) </w:t>
            </w:r>
          </w:p>
          <w:p w14:paraId="42B9F13C" w14:textId="77777777" w:rsidR="001223F2" w:rsidRDefault="001223F2">
            <w:pPr>
              <w:pStyle w:val="TableParagraph"/>
              <w:ind w:right="248"/>
            </w:pPr>
          </w:p>
          <w:p w14:paraId="27D2EAF1" w14:textId="562EB1C2" w:rsidR="001223F2" w:rsidRDefault="001223F2">
            <w:pPr>
              <w:pStyle w:val="TableParagraph"/>
              <w:ind w:right="248"/>
            </w:pPr>
            <w:r>
              <w:t xml:space="preserve">(2) a description of the (“the safety policy”), and the related safety </w:t>
            </w:r>
            <w:proofErr w:type="gramStart"/>
            <w:r>
              <w:t>objectives;</w:t>
            </w:r>
            <w:proofErr w:type="gramEnd"/>
            <w:r>
              <w:t xml:space="preserve"> </w:t>
            </w:r>
          </w:p>
          <w:p w14:paraId="51BD4512" w14:textId="77777777" w:rsidR="001223F2" w:rsidRDefault="001223F2">
            <w:pPr>
              <w:pStyle w:val="TableParagraph"/>
              <w:ind w:right="248"/>
            </w:pPr>
          </w:p>
          <w:p w14:paraId="21663750" w14:textId="77777777" w:rsidR="001223F2" w:rsidRDefault="001223F2">
            <w:pPr>
              <w:pStyle w:val="TableParagraph"/>
              <w:ind w:right="248"/>
            </w:pPr>
            <w:r>
              <w:t xml:space="preserve">(3) the identification of aviation safety hazards entailed by the activities of the organisation, their evaluation and the management of the associated risks, including taking actions to mitigate the risks and verify their </w:t>
            </w:r>
            <w:proofErr w:type="gramStart"/>
            <w:r>
              <w:t>effectiveness;</w:t>
            </w:r>
            <w:proofErr w:type="gramEnd"/>
            <w:r>
              <w:t xml:space="preserve"> </w:t>
            </w:r>
          </w:p>
          <w:p w14:paraId="76DB8875" w14:textId="77777777" w:rsidR="00291FCB" w:rsidRDefault="00291FCB">
            <w:pPr>
              <w:pStyle w:val="TableParagraph"/>
              <w:ind w:right="248"/>
            </w:pPr>
          </w:p>
          <w:p w14:paraId="59271917" w14:textId="01F8FB32" w:rsidR="00291FCB" w:rsidRPr="00A570A6" w:rsidRDefault="00A570A6">
            <w:pPr>
              <w:pStyle w:val="TableParagraph"/>
              <w:ind w:right="248"/>
              <w:rPr>
                <w:i/>
                <w:iCs/>
                <w:highlight w:val="cyan"/>
              </w:rPr>
            </w:pPr>
            <w:r w:rsidRPr="00A570A6">
              <w:rPr>
                <w:i/>
                <w:iCs/>
                <w:highlight w:val="cyan"/>
              </w:rPr>
              <w:t xml:space="preserve">Look for a Proactive System to actively identify safety </w:t>
            </w:r>
            <w:proofErr w:type="gramStart"/>
            <w:r w:rsidRPr="00A570A6">
              <w:rPr>
                <w:i/>
                <w:iCs/>
                <w:highlight w:val="cyan"/>
              </w:rPr>
              <w:t>Hazards</w:t>
            </w:r>
            <w:proofErr w:type="gramEnd"/>
            <w:r w:rsidRPr="00A570A6">
              <w:rPr>
                <w:i/>
                <w:iCs/>
                <w:highlight w:val="cyan"/>
              </w:rPr>
              <w:t xml:space="preserve"> </w:t>
            </w:r>
          </w:p>
          <w:p w14:paraId="149B7919" w14:textId="77777777" w:rsidR="00A570A6" w:rsidRPr="00A570A6" w:rsidRDefault="00A570A6">
            <w:pPr>
              <w:pStyle w:val="TableParagraph"/>
              <w:ind w:right="248"/>
              <w:rPr>
                <w:i/>
                <w:iCs/>
                <w:highlight w:val="cyan"/>
              </w:rPr>
            </w:pPr>
          </w:p>
          <w:p w14:paraId="21402A2A" w14:textId="3866861E" w:rsidR="00A570A6" w:rsidRPr="00A570A6" w:rsidRDefault="00A570A6" w:rsidP="00A570A6">
            <w:pPr>
              <w:pStyle w:val="TableParagraph"/>
              <w:numPr>
                <w:ilvl w:val="0"/>
                <w:numId w:val="23"/>
              </w:numPr>
              <w:ind w:right="248"/>
              <w:rPr>
                <w:i/>
                <w:iCs/>
                <w:highlight w:val="cyan"/>
              </w:rPr>
            </w:pPr>
            <w:r w:rsidRPr="00A570A6">
              <w:rPr>
                <w:i/>
                <w:iCs/>
                <w:highlight w:val="cyan"/>
              </w:rPr>
              <w:t>How is it Implemented?</w:t>
            </w:r>
          </w:p>
          <w:p w14:paraId="6D2D77EF" w14:textId="50340610" w:rsidR="00A570A6" w:rsidRPr="00A570A6" w:rsidRDefault="00A570A6" w:rsidP="00A570A6">
            <w:pPr>
              <w:pStyle w:val="TableParagraph"/>
              <w:numPr>
                <w:ilvl w:val="0"/>
                <w:numId w:val="23"/>
              </w:numPr>
              <w:ind w:right="248"/>
              <w:rPr>
                <w:i/>
                <w:iCs/>
                <w:highlight w:val="cyan"/>
              </w:rPr>
            </w:pPr>
            <w:r w:rsidRPr="00A570A6">
              <w:rPr>
                <w:i/>
                <w:iCs/>
                <w:highlight w:val="cyan"/>
              </w:rPr>
              <w:t>How is it Managed?</w:t>
            </w:r>
          </w:p>
          <w:p w14:paraId="75888FEC" w14:textId="2C54484D" w:rsidR="00A570A6" w:rsidRDefault="00A570A6" w:rsidP="00A570A6">
            <w:pPr>
              <w:pStyle w:val="TableParagraph"/>
              <w:numPr>
                <w:ilvl w:val="0"/>
                <w:numId w:val="23"/>
              </w:numPr>
              <w:ind w:right="248"/>
              <w:rPr>
                <w:i/>
                <w:iCs/>
                <w:highlight w:val="cyan"/>
              </w:rPr>
            </w:pPr>
            <w:r w:rsidRPr="00A570A6">
              <w:rPr>
                <w:i/>
                <w:iCs/>
                <w:highlight w:val="cyan"/>
              </w:rPr>
              <w:t xml:space="preserve">How is </w:t>
            </w:r>
            <w:proofErr w:type="gramStart"/>
            <w:r w:rsidRPr="00A570A6">
              <w:rPr>
                <w:i/>
                <w:iCs/>
                <w:highlight w:val="cyan"/>
              </w:rPr>
              <w:t>the Effectiveness</w:t>
            </w:r>
            <w:proofErr w:type="gramEnd"/>
            <w:r w:rsidRPr="00A570A6">
              <w:rPr>
                <w:i/>
                <w:iCs/>
                <w:highlight w:val="cyan"/>
              </w:rPr>
              <w:t xml:space="preserve"> Demonstrated?</w:t>
            </w:r>
          </w:p>
          <w:p w14:paraId="59AC5A65" w14:textId="2377C5B3" w:rsidR="005A3887" w:rsidRPr="00A570A6" w:rsidRDefault="005A3887" w:rsidP="00A570A6">
            <w:pPr>
              <w:pStyle w:val="TableParagraph"/>
              <w:numPr>
                <w:ilvl w:val="0"/>
                <w:numId w:val="23"/>
              </w:numPr>
              <w:ind w:right="248"/>
              <w:rPr>
                <w:i/>
                <w:iCs/>
                <w:highlight w:val="cyan"/>
              </w:rPr>
            </w:pPr>
            <w:r>
              <w:rPr>
                <w:i/>
                <w:iCs/>
                <w:highlight w:val="cyan"/>
              </w:rPr>
              <w:t>Is there a risk register available?  (there should be – how active is the risk register)</w:t>
            </w:r>
          </w:p>
          <w:p w14:paraId="43F6F2A4" w14:textId="77777777" w:rsidR="00A570A6" w:rsidRDefault="00A570A6">
            <w:pPr>
              <w:pStyle w:val="TableParagraph"/>
              <w:ind w:right="248"/>
            </w:pPr>
          </w:p>
          <w:p w14:paraId="410CDA12" w14:textId="77777777" w:rsidR="00A570A6" w:rsidRDefault="00A570A6">
            <w:pPr>
              <w:pStyle w:val="TableParagraph"/>
              <w:ind w:right="248"/>
            </w:pPr>
          </w:p>
          <w:p w14:paraId="1166AFD8" w14:textId="77777777" w:rsidR="001223F2" w:rsidRDefault="001223F2">
            <w:pPr>
              <w:pStyle w:val="TableParagraph"/>
              <w:ind w:right="248"/>
            </w:pPr>
            <w:r>
              <w:t xml:space="preserve">(4) maintaining personnel trained and competent to perform their </w:t>
            </w:r>
            <w:proofErr w:type="gramStart"/>
            <w:r>
              <w:t>tasks;</w:t>
            </w:r>
            <w:proofErr w:type="gramEnd"/>
            <w:r>
              <w:t xml:space="preserve"> </w:t>
            </w:r>
          </w:p>
          <w:p w14:paraId="61A92FEF" w14:textId="77777777" w:rsidR="005A3887" w:rsidRDefault="005A3887">
            <w:pPr>
              <w:pStyle w:val="TableParagraph"/>
              <w:ind w:right="248"/>
            </w:pPr>
          </w:p>
          <w:p w14:paraId="5C006FC6" w14:textId="6FABD33B" w:rsidR="005A3887" w:rsidRPr="005A3887" w:rsidRDefault="005A3887" w:rsidP="005A3887">
            <w:pPr>
              <w:pStyle w:val="TableParagraph"/>
              <w:numPr>
                <w:ilvl w:val="0"/>
                <w:numId w:val="34"/>
              </w:numPr>
              <w:ind w:right="248"/>
              <w:rPr>
                <w:i/>
                <w:iCs/>
                <w:sz w:val="20"/>
                <w:szCs w:val="20"/>
                <w:highlight w:val="cyan"/>
              </w:rPr>
            </w:pPr>
            <w:r w:rsidRPr="005A3887">
              <w:rPr>
                <w:i/>
                <w:iCs/>
                <w:sz w:val="20"/>
                <w:szCs w:val="20"/>
                <w:highlight w:val="cyan"/>
              </w:rPr>
              <w:t xml:space="preserve">Competence is a key aspect of the process – how is competence managed and assessed for the leadership team? </w:t>
            </w:r>
          </w:p>
          <w:p w14:paraId="3419B2E6" w14:textId="77777777" w:rsidR="001223F2" w:rsidRDefault="001223F2">
            <w:pPr>
              <w:pStyle w:val="TableParagraph"/>
              <w:ind w:right="248"/>
            </w:pPr>
          </w:p>
          <w:p w14:paraId="2E50F5BB" w14:textId="77777777" w:rsidR="001223F2" w:rsidRDefault="001223F2">
            <w:pPr>
              <w:pStyle w:val="TableParagraph"/>
              <w:ind w:right="248"/>
            </w:pPr>
            <w:r>
              <w:t xml:space="preserve">(5) documentation of all management system key processes, including a process for making personnel aware of their responsibilities and the procedure for amending that </w:t>
            </w:r>
            <w:proofErr w:type="gramStart"/>
            <w:r>
              <w:t>documentation;</w:t>
            </w:r>
            <w:proofErr w:type="gramEnd"/>
            <w:r>
              <w:t xml:space="preserve"> </w:t>
            </w:r>
          </w:p>
          <w:p w14:paraId="64B53F88" w14:textId="77777777" w:rsidR="00A570A6" w:rsidRDefault="00A570A6">
            <w:pPr>
              <w:pStyle w:val="TableParagraph"/>
              <w:ind w:right="248"/>
            </w:pPr>
          </w:p>
          <w:p w14:paraId="4BD2797C" w14:textId="677D09B0" w:rsidR="00A570A6" w:rsidRPr="00A570A6" w:rsidRDefault="00A570A6">
            <w:pPr>
              <w:pStyle w:val="TableParagraph"/>
              <w:ind w:right="248"/>
              <w:rPr>
                <w:i/>
                <w:iCs/>
                <w:sz w:val="20"/>
                <w:szCs w:val="20"/>
              </w:rPr>
            </w:pPr>
            <w:r w:rsidRPr="00A570A6">
              <w:rPr>
                <w:i/>
                <w:iCs/>
                <w:sz w:val="20"/>
                <w:szCs w:val="20"/>
                <w:highlight w:val="cyan"/>
              </w:rPr>
              <w:t xml:space="preserve">Identify a “Process” to make personnel aware of their responsibilities – documenting only in the MOE is not a </w:t>
            </w:r>
            <w:proofErr w:type="gramStart"/>
            <w:r w:rsidRPr="00A570A6">
              <w:rPr>
                <w:i/>
                <w:iCs/>
                <w:sz w:val="20"/>
                <w:szCs w:val="20"/>
                <w:highlight w:val="cyan"/>
              </w:rPr>
              <w:t>process</w:t>
            </w:r>
            <w:proofErr w:type="gramEnd"/>
          </w:p>
          <w:p w14:paraId="73338FC7" w14:textId="77777777" w:rsidR="001223F2" w:rsidRDefault="001223F2">
            <w:pPr>
              <w:pStyle w:val="TableParagraph"/>
              <w:ind w:right="248"/>
            </w:pPr>
          </w:p>
          <w:p w14:paraId="61B43A53" w14:textId="77777777" w:rsidR="005A3887" w:rsidRDefault="001223F2">
            <w:pPr>
              <w:pStyle w:val="TableParagraph"/>
              <w:ind w:right="248"/>
            </w:pPr>
            <w:r>
              <w:t xml:space="preserve">(6) a function to monitor the compliance of the organisation with the relevant requirements. </w:t>
            </w:r>
          </w:p>
          <w:p w14:paraId="42FB895F" w14:textId="77777777" w:rsidR="005A3887" w:rsidRDefault="005A3887">
            <w:pPr>
              <w:pStyle w:val="TableParagraph"/>
              <w:ind w:right="248"/>
            </w:pPr>
          </w:p>
          <w:p w14:paraId="7C85559B" w14:textId="0EC9434D" w:rsidR="005A3887" w:rsidRPr="005A3887" w:rsidRDefault="005A3887">
            <w:pPr>
              <w:pStyle w:val="TableParagraph"/>
              <w:ind w:right="248"/>
              <w:rPr>
                <w:i/>
                <w:iCs/>
                <w:sz w:val="20"/>
                <w:szCs w:val="20"/>
              </w:rPr>
            </w:pPr>
            <w:r>
              <w:rPr>
                <w:i/>
                <w:iCs/>
                <w:sz w:val="20"/>
                <w:szCs w:val="20"/>
                <w:highlight w:val="cyan"/>
              </w:rPr>
              <w:t xml:space="preserve">Note - </w:t>
            </w:r>
            <w:r w:rsidRPr="005A3887">
              <w:rPr>
                <w:i/>
                <w:iCs/>
                <w:sz w:val="20"/>
                <w:szCs w:val="20"/>
                <w:highlight w:val="cyan"/>
              </w:rPr>
              <w:t xml:space="preserve">Compliance with the regulations is part of the obligation – ensure also compliance with the internal process &amp; </w:t>
            </w:r>
            <w:proofErr w:type="gramStart"/>
            <w:r w:rsidRPr="005A3887">
              <w:rPr>
                <w:i/>
                <w:iCs/>
                <w:sz w:val="20"/>
                <w:szCs w:val="20"/>
                <w:highlight w:val="cyan"/>
              </w:rPr>
              <w:t>procedures</w:t>
            </w:r>
            <w:proofErr w:type="gramEnd"/>
            <w:r w:rsidRPr="005A3887">
              <w:rPr>
                <w:i/>
                <w:iCs/>
                <w:sz w:val="20"/>
                <w:szCs w:val="20"/>
              </w:rPr>
              <w:t xml:space="preserve"> </w:t>
            </w:r>
          </w:p>
          <w:p w14:paraId="74B5A099" w14:textId="77777777" w:rsidR="005A3887" w:rsidRDefault="005A3887">
            <w:pPr>
              <w:pStyle w:val="TableParagraph"/>
              <w:ind w:right="248"/>
            </w:pPr>
          </w:p>
          <w:p w14:paraId="0805809D" w14:textId="223209FB" w:rsidR="00C518C8" w:rsidRDefault="001223F2">
            <w:pPr>
              <w:pStyle w:val="TableParagraph"/>
              <w:ind w:right="248"/>
            </w:pPr>
            <w:r>
              <w:t>Compliance monitoring shall include a feedback system of findings to the accountable manager to ensure the effective implementation of corrective actions as necessary.</w:t>
            </w:r>
          </w:p>
          <w:p w14:paraId="34F616E8" w14:textId="77777777" w:rsidR="001223F2" w:rsidRDefault="001223F2">
            <w:pPr>
              <w:pStyle w:val="TableParagraph"/>
              <w:ind w:right="248"/>
            </w:pPr>
          </w:p>
          <w:p w14:paraId="3E6F74AA" w14:textId="77777777" w:rsidR="001223F2" w:rsidRDefault="001223F2" w:rsidP="001223F2">
            <w:pPr>
              <w:pStyle w:val="TableParagraph"/>
              <w:ind w:right="248"/>
            </w:pPr>
            <w:r>
              <w:t xml:space="preserve">(b) The management system shall correspond to the size of the organisation and the nature and complexity of its activities, </w:t>
            </w:r>
            <w:proofErr w:type="gramStart"/>
            <w:r>
              <w:t>taking into account</w:t>
            </w:r>
            <w:proofErr w:type="gramEnd"/>
            <w:r>
              <w:t xml:space="preserve"> the hazards and the associated risks inherent in those activities.</w:t>
            </w:r>
          </w:p>
          <w:p w14:paraId="03B00CF0" w14:textId="77777777" w:rsidR="001223F2" w:rsidRDefault="001223F2" w:rsidP="001223F2">
            <w:pPr>
              <w:pStyle w:val="TableParagraph"/>
              <w:ind w:right="248"/>
            </w:pPr>
          </w:p>
          <w:p w14:paraId="52C8CD42" w14:textId="4C14FDCE" w:rsidR="001223F2" w:rsidRPr="001223F2" w:rsidRDefault="001223F2" w:rsidP="001223F2">
            <w:pPr>
              <w:pStyle w:val="TableParagraph"/>
              <w:ind w:right="248"/>
            </w:pPr>
          </w:p>
        </w:tc>
        <w:tc>
          <w:tcPr>
            <w:tcW w:w="4203" w:type="dxa"/>
          </w:tcPr>
          <w:p w14:paraId="7C7738AF" w14:textId="77777777" w:rsidR="00C518C8" w:rsidRDefault="00C518C8">
            <w:pPr>
              <w:pStyle w:val="TableParagraph"/>
              <w:ind w:left="0"/>
              <w:rPr>
                <w:rFonts w:ascii="Times New Roman"/>
                <w:sz w:val="24"/>
              </w:rPr>
            </w:pPr>
          </w:p>
        </w:tc>
      </w:tr>
      <w:tr w:rsidR="00C518C8" w14:paraId="4B64063C" w14:textId="77777777">
        <w:trPr>
          <w:trHeight w:val="1379"/>
        </w:trPr>
        <w:tc>
          <w:tcPr>
            <w:tcW w:w="4815" w:type="dxa"/>
          </w:tcPr>
          <w:p w14:paraId="4A32925C" w14:textId="77777777" w:rsidR="001223F2" w:rsidRPr="001223F2" w:rsidRDefault="001223F2">
            <w:pPr>
              <w:pStyle w:val="TableParagraph"/>
              <w:ind w:right="248"/>
              <w:rPr>
                <w:b/>
                <w:bCs/>
              </w:rPr>
            </w:pPr>
            <w:r w:rsidRPr="001223F2">
              <w:rPr>
                <w:b/>
                <w:bCs/>
              </w:rPr>
              <w:t xml:space="preserve">GM1 145.A.200 Management system </w:t>
            </w:r>
          </w:p>
          <w:p w14:paraId="704074CF" w14:textId="77777777" w:rsidR="001223F2" w:rsidRDefault="001223F2">
            <w:pPr>
              <w:pStyle w:val="TableParagraph"/>
              <w:ind w:right="248"/>
            </w:pPr>
            <w:r>
              <w:t xml:space="preserve">ED Decision 2022/011/R </w:t>
            </w:r>
          </w:p>
          <w:p w14:paraId="42B8F88C" w14:textId="77777777" w:rsidR="001223F2" w:rsidRDefault="001223F2">
            <w:pPr>
              <w:pStyle w:val="TableParagraph"/>
              <w:ind w:right="248"/>
            </w:pPr>
            <w:r>
              <w:t xml:space="preserve">GENERAL </w:t>
            </w:r>
          </w:p>
          <w:p w14:paraId="770B5762" w14:textId="77777777" w:rsidR="001223F2" w:rsidRDefault="001223F2">
            <w:pPr>
              <w:pStyle w:val="TableParagraph"/>
              <w:ind w:right="248"/>
            </w:pPr>
          </w:p>
          <w:p w14:paraId="4905527B" w14:textId="77777777" w:rsidR="00A570A6" w:rsidRDefault="001223F2">
            <w:pPr>
              <w:pStyle w:val="TableParagraph"/>
              <w:ind w:right="248"/>
            </w:pPr>
            <w:r>
              <w:t xml:space="preserve">Safety management seeks to proactively identify hazards and to mitigate the related safety risks before they result in aviation accidents and incidents. </w:t>
            </w:r>
          </w:p>
          <w:p w14:paraId="0D861218" w14:textId="77777777" w:rsidR="00A570A6" w:rsidRDefault="00A570A6">
            <w:pPr>
              <w:pStyle w:val="TableParagraph"/>
              <w:ind w:right="248"/>
            </w:pPr>
          </w:p>
          <w:p w14:paraId="0257BCE4" w14:textId="77777777" w:rsidR="00A570A6" w:rsidRDefault="001223F2">
            <w:pPr>
              <w:pStyle w:val="TableParagraph"/>
              <w:ind w:right="248"/>
            </w:pPr>
            <w:r>
              <w:t xml:space="preserve">The principles of the requirements in points 145.A.200, 145.A.202, 145.A.205 and the related AMC constitute the EU management system framework for aviation safety management. </w:t>
            </w:r>
          </w:p>
          <w:p w14:paraId="4DB6C70F" w14:textId="77777777" w:rsidR="00A570A6" w:rsidRDefault="00A570A6">
            <w:pPr>
              <w:pStyle w:val="TableParagraph"/>
              <w:ind w:right="248"/>
            </w:pPr>
          </w:p>
          <w:p w14:paraId="5C3279B1" w14:textId="3019A02B" w:rsidR="00F36ED1" w:rsidRPr="005A3887" w:rsidRDefault="005A3887">
            <w:pPr>
              <w:pStyle w:val="TableParagraph"/>
              <w:ind w:right="248"/>
              <w:rPr>
                <w:b/>
                <w:bCs/>
              </w:rPr>
            </w:pPr>
            <w:r w:rsidRPr="005A3887">
              <w:rPr>
                <w:b/>
                <w:bCs/>
              </w:rPr>
              <w:t>O</w:t>
            </w:r>
            <w:r w:rsidR="001223F2" w:rsidRPr="005A3887">
              <w:rPr>
                <w:b/>
                <w:bCs/>
              </w:rPr>
              <w:t xml:space="preserve">rganisations </w:t>
            </w:r>
            <w:r w:rsidRPr="005A3887">
              <w:rPr>
                <w:b/>
                <w:bCs/>
              </w:rPr>
              <w:t xml:space="preserve">are expected </w:t>
            </w:r>
            <w:r w:rsidR="001223F2" w:rsidRPr="005A3887">
              <w:rPr>
                <w:b/>
                <w:bCs/>
              </w:rPr>
              <w:t xml:space="preserve">to embed safety management and risk-based decision-making into all their activities, instead of superimposing another system onto their existing management system and governance structure. </w:t>
            </w:r>
          </w:p>
          <w:p w14:paraId="4098A09A" w14:textId="77777777" w:rsidR="00F36ED1" w:rsidRDefault="00F36ED1">
            <w:pPr>
              <w:pStyle w:val="TableParagraph"/>
              <w:ind w:right="248"/>
            </w:pPr>
          </w:p>
          <w:p w14:paraId="2DAE9351" w14:textId="77777777" w:rsidR="00F36ED1" w:rsidRDefault="00F36ED1" w:rsidP="00F36ED1">
            <w:pPr>
              <w:pStyle w:val="TableParagraph"/>
              <w:ind w:right="248"/>
            </w:pPr>
          </w:p>
          <w:p w14:paraId="1D5651D6" w14:textId="77777777" w:rsidR="00F36ED1" w:rsidRPr="00F36ED1" w:rsidRDefault="00F36ED1" w:rsidP="00F36ED1">
            <w:pPr>
              <w:pStyle w:val="TableParagraph"/>
              <w:ind w:right="248"/>
              <w:rPr>
                <w:i/>
                <w:iCs/>
                <w:sz w:val="20"/>
                <w:szCs w:val="20"/>
                <w:highlight w:val="cyan"/>
              </w:rPr>
            </w:pPr>
            <w:r w:rsidRPr="00F36ED1">
              <w:rPr>
                <w:i/>
                <w:iCs/>
                <w:sz w:val="20"/>
                <w:szCs w:val="20"/>
                <w:highlight w:val="cyan"/>
              </w:rPr>
              <w:t xml:space="preserve">Important Note - For each detailed procedure described within the MOE, the Part 145 organisation should address the following questions: </w:t>
            </w:r>
          </w:p>
          <w:p w14:paraId="138E3631" w14:textId="77777777" w:rsidR="00F36ED1" w:rsidRPr="00F36ED1" w:rsidRDefault="00F36ED1" w:rsidP="00F36ED1">
            <w:pPr>
              <w:pStyle w:val="TableParagraph"/>
              <w:ind w:right="248"/>
              <w:rPr>
                <w:i/>
                <w:iCs/>
                <w:sz w:val="20"/>
                <w:szCs w:val="20"/>
                <w:highlight w:val="cyan"/>
              </w:rPr>
            </w:pPr>
          </w:p>
          <w:p w14:paraId="51C1B929" w14:textId="77777777" w:rsidR="00F36ED1" w:rsidRPr="00F36ED1" w:rsidRDefault="00F36ED1" w:rsidP="00F36ED1">
            <w:pPr>
              <w:pStyle w:val="TableParagraph"/>
              <w:ind w:right="248"/>
              <w:rPr>
                <w:i/>
                <w:iCs/>
                <w:sz w:val="20"/>
                <w:szCs w:val="20"/>
                <w:highlight w:val="cyan"/>
              </w:rPr>
            </w:pPr>
            <w:r w:rsidRPr="00F36ED1">
              <w:rPr>
                <w:i/>
                <w:iCs/>
                <w:sz w:val="20"/>
                <w:szCs w:val="20"/>
                <w:highlight w:val="cyan"/>
              </w:rPr>
              <w:t xml:space="preserve">What must be done?  Who should do it?  When must it be done?  Where must it be done? How must it be done? Which procedure(s)/form(s) should be used? </w:t>
            </w:r>
          </w:p>
          <w:p w14:paraId="0FE93F0D" w14:textId="77777777" w:rsidR="00F36ED1" w:rsidRPr="00F36ED1" w:rsidRDefault="00F36ED1" w:rsidP="00F36ED1">
            <w:pPr>
              <w:pStyle w:val="TableParagraph"/>
              <w:ind w:right="248"/>
              <w:rPr>
                <w:i/>
                <w:iCs/>
                <w:sz w:val="20"/>
                <w:szCs w:val="20"/>
                <w:highlight w:val="cyan"/>
              </w:rPr>
            </w:pPr>
          </w:p>
          <w:p w14:paraId="02249172" w14:textId="77777777" w:rsidR="00F36ED1" w:rsidRPr="00F36ED1" w:rsidRDefault="00F36ED1" w:rsidP="00F36ED1">
            <w:pPr>
              <w:pStyle w:val="TableParagraph"/>
              <w:ind w:right="248"/>
              <w:rPr>
                <w:i/>
                <w:iCs/>
                <w:sz w:val="20"/>
                <w:szCs w:val="20"/>
              </w:rPr>
            </w:pPr>
            <w:r w:rsidRPr="00F36ED1">
              <w:rPr>
                <w:i/>
                <w:iCs/>
                <w:sz w:val="20"/>
                <w:szCs w:val="20"/>
                <w:highlight w:val="cyan"/>
              </w:rPr>
              <w:t xml:space="preserve">If you do not have a satisfactory answer to a particular question, then you should identify as Conformity N and provide additional </w:t>
            </w:r>
            <w:proofErr w:type="gramStart"/>
            <w:r w:rsidRPr="00F36ED1">
              <w:rPr>
                <w:i/>
                <w:iCs/>
                <w:sz w:val="20"/>
                <w:szCs w:val="20"/>
                <w:highlight w:val="cyan"/>
              </w:rPr>
              <w:t>comments</w:t>
            </w:r>
            <w:proofErr w:type="gramEnd"/>
            <w:r w:rsidRPr="00F36ED1">
              <w:rPr>
                <w:i/>
                <w:iCs/>
                <w:sz w:val="20"/>
                <w:szCs w:val="20"/>
              </w:rPr>
              <w:t xml:space="preserve"> </w:t>
            </w:r>
          </w:p>
          <w:p w14:paraId="4D32D251" w14:textId="77777777" w:rsidR="00F36ED1" w:rsidRDefault="00F36ED1" w:rsidP="00F36ED1">
            <w:pPr>
              <w:pStyle w:val="TableParagraph"/>
              <w:ind w:right="248"/>
            </w:pPr>
          </w:p>
          <w:p w14:paraId="1BAF5580" w14:textId="00ADAA96" w:rsidR="00DE3851" w:rsidRDefault="001223F2" w:rsidP="00F36ED1">
            <w:pPr>
              <w:pStyle w:val="TableParagraph"/>
              <w:ind w:right="248"/>
            </w:pPr>
            <w:r>
              <w:t xml:space="preserve">The core part of the management system framework (145.A.200) focuses on what is </w:t>
            </w:r>
            <w:r>
              <w:lastRenderedPageBreak/>
              <w:t xml:space="preserve">essential to manage safety, by mandating the organisation to: </w:t>
            </w:r>
          </w:p>
          <w:p w14:paraId="12DC72D6" w14:textId="77777777" w:rsidR="001D6452" w:rsidRDefault="001D6452" w:rsidP="00F36ED1">
            <w:pPr>
              <w:pStyle w:val="TableParagraph"/>
              <w:ind w:right="248"/>
            </w:pPr>
          </w:p>
          <w:p w14:paraId="4ABD20D0" w14:textId="45700299" w:rsidR="00DE3851" w:rsidRDefault="001223F2" w:rsidP="00DE3851">
            <w:pPr>
              <w:pStyle w:val="TableParagraph"/>
              <w:numPr>
                <w:ilvl w:val="0"/>
                <w:numId w:val="18"/>
              </w:numPr>
              <w:ind w:right="248"/>
            </w:pPr>
            <w:r>
              <w:t xml:space="preserve">clearly define accountabilities and </w:t>
            </w:r>
            <w:proofErr w:type="gramStart"/>
            <w:r>
              <w:t>responsibilities;</w:t>
            </w:r>
            <w:proofErr w:type="gramEnd"/>
            <w:r>
              <w:t xml:space="preserve"> </w:t>
            </w:r>
          </w:p>
          <w:p w14:paraId="2F9D6D1F" w14:textId="77777777" w:rsidR="00DE3851" w:rsidRDefault="00DE3851" w:rsidP="00DE3851">
            <w:pPr>
              <w:pStyle w:val="TableParagraph"/>
              <w:ind w:left="467" w:right="248"/>
            </w:pPr>
          </w:p>
          <w:p w14:paraId="39AA6BE9" w14:textId="2D07217B" w:rsidR="00DE3851" w:rsidRDefault="001223F2" w:rsidP="00DE3851">
            <w:pPr>
              <w:pStyle w:val="TableParagraph"/>
              <w:numPr>
                <w:ilvl w:val="0"/>
                <w:numId w:val="18"/>
              </w:numPr>
              <w:ind w:right="248"/>
            </w:pPr>
            <w:r>
              <w:t xml:space="preserve">establish a safety policy and the related safety </w:t>
            </w:r>
            <w:proofErr w:type="gramStart"/>
            <w:r>
              <w:t>objectives;</w:t>
            </w:r>
            <w:proofErr w:type="gramEnd"/>
            <w:r>
              <w:t xml:space="preserve"> </w:t>
            </w:r>
          </w:p>
          <w:p w14:paraId="7E1CAC33" w14:textId="77777777" w:rsidR="00DE3851" w:rsidRDefault="00DE3851" w:rsidP="00DE3851">
            <w:pPr>
              <w:pStyle w:val="TableParagraph"/>
              <w:ind w:left="467" w:right="248"/>
            </w:pPr>
          </w:p>
          <w:p w14:paraId="1645832C" w14:textId="7879EEF5" w:rsidR="00DE3851" w:rsidRDefault="001223F2" w:rsidP="00DE3851">
            <w:pPr>
              <w:pStyle w:val="TableParagraph"/>
              <w:numPr>
                <w:ilvl w:val="0"/>
                <w:numId w:val="18"/>
              </w:numPr>
              <w:ind w:right="248"/>
            </w:pPr>
            <w:r>
              <w:t xml:space="preserve">implement safety reporting procedures in line with just culture </w:t>
            </w:r>
            <w:proofErr w:type="gramStart"/>
            <w:r>
              <w:t>principles;</w:t>
            </w:r>
            <w:proofErr w:type="gramEnd"/>
            <w:r>
              <w:t xml:space="preserve"> </w:t>
            </w:r>
          </w:p>
          <w:p w14:paraId="5DB80A8F" w14:textId="77777777" w:rsidR="00DE3851" w:rsidRDefault="00DE3851" w:rsidP="00DE3851">
            <w:pPr>
              <w:pStyle w:val="TableParagraph"/>
              <w:ind w:left="467" w:right="248"/>
            </w:pPr>
          </w:p>
          <w:p w14:paraId="06D2F1AA" w14:textId="77777777" w:rsidR="00DE3851" w:rsidRDefault="001223F2" w:rsidP="00DE3851">
            <w:pPr>
              <w:pStyle w:val="TableParagraph"/>
              <w:numPr>
                <w:ilvl w:val="0"/>
                <w:numId w:val="18"/>
              </w:numPr>
              <w:ind w:right="248"/>
            </w:pPr>
            <w:r>
              <w:t xml:space="preserve">ensure the identification of aviation safety hazards entailed by its activities, ensure their evaluation, and the management of the associated risks, including: </w:t>
            </w:r>
          </w:p>
          <w:p w14:paraId="658DB1D7" w14:textId="77777777" w:rsidR="00DE3851" w:rsidRDefault="00DE3851" w:rsidP="00DE3851">
            <w:pPr>
              <w:pStyle w:val="ListParagraph"/>
            </w:pPr>
          </w:p>
          <w:p w14:paraId="148FBE3B" w14:textId="77777777" w:rsidR="00DE3851" w:rsidRDefault="001223F2" w:rsidP="00DE3851">
            <w:pPr>
              <w:pStyle w:val="TableParagraph"/>
              <w:ind w:left="467" w:right="248"/>
            </w:pPr>
            <w:r>
              <w:t xml:space="preserve">(1) taking actions to mitigate the </w:t>
            </w:r>
            <w:proofErr w:type="gramStart"/>
            <w:r>
              <w:t>risks;</w:t>
            </w:r>
            <w:proofErr w:type="gramEnd"/>
            <w:r>
              <w:t xml:space="preserve"> </w:t>
            </w:r>
          </w:p>
          <w:p w14:paraId="66B67BE5" w14:textId="77777777" w:rsidR="00F36ED1" w:rsidRDefault="00F36ED1" w:rsidP="00DE3851">
            <w:pPr>
              <w:pStyle w:val="TableParagraph"/>
              <w:ind w:left="467" w:right="248"/>
            </w:pPr>
          </w:p>
          <w:p w14:paraId="07D7C903" w14:textId="07EC6FF5" w:rsidR="00DE3851" w:rsidRDefault="001223F2" w:rsidP="00DE3851">
            <w:pPr>
              <w:pStyle w:val="TableParagraph"/>
              <w:ind w:left="467" w:right="248"/>
            </w:pPr>
            <w:r>
              <w:t xml:space="preserve">(2) verifying the effectiveness of the actions taken to mitigate the </w:t>
            </w:r>
            <w:proofErr w:type="gramStart"/>
            <w:r>
              <w:t>risks;</w:t>
            </w:r>
            <w:proofErr w:type="gramEnd"/>
            <w:r>
              <w:t xml:space="preserve"> </w:t>
            </w:r>
          </w:p>
          <w:p w14:paraId="5A0647A1" w14:textId="77777777" w:rsidR="005A3887" w:rsidRDefault="005A3887" w:rsidP="00DE3851">
            <w:pPr>
              <w:pStyle w:val="TableParagraph"/>
              <w:ind w:left="467" w:right="248"/>
            </w:pPr>
          </w:p>
          <w:p w14:paraId="40A6660C" w14:textId="7E8D5E0B" w:rsidR="005A3887" w:rsidRPr="005A3887" w:rsidRDefault="005A3887" w:rsidP="005A3887">
            <w:pPr>
              <w:pStyle w:val="TableParagraph"/>
              <w:ind w:left="152" w:right="248"/>
              <w:rPr>
                <w:i/>
                <w:iCs/>
                <w:sz w:val="20"/>
                <w:szCs w:val="20"/>
                <w:highlight w:val="cyan"/>
              </w:rPr>
            </w:pPr>
            <w:r w:rsidRPr="005A3887">
              <w:rPr>
                <w:i/>
                <w:iCs/>
                <w:sz w:val="20"/>
                <w:szCs w:val="20"/>
                <w:highlight w:val="cyan"/>
              </w:rPr>
              <w:t>Point D above review the identification &amp; analysis process – how is it evidenced?</w:t>
            </w:r>
          </w:p>
          <w:p w14:paraId="776A298D" w14:textId="77777777" w:rsidR="005A3887" w:rsidRPr="005A3887" w:rsidRDefault="005A3887" w:rsidP="005A3887">
            <w:pPr>
              <w:pStyle w:val="TableParagraph"/>
              <w:ind w:left="152" w:right="248"/>
              <w:rPr>
                <w:i/>
                <w:iCs/>
                <w:sz w:val="20"/>
                <w:szCs w:val="20"/>
                <w:highlight w:val="cyan"/>
              </w:rPr>
            </w:pPr>
          </w:p>
          <w:p w14:paraId="3E311624" w14:textId="7CF040DB" w:rsidR="005A3887" w:rsidRPr="005A3887" w:rsidRDefault="005A3887" w:rsidP="005A3887">
            <w:pPr>
              <w:pStyle w:val="TableParagraph"/>
              <w:numPr>
                <w:ilvl w:val="0"/>
                <w:numId w:val="34"/>
              </w:numPr>
              <w:ind w:right="248"/>
              <w:rPr>
                <w:i/>
                <w:iCs/>
                <w:sz w:val="20"/>
                <w:szCs w:val="20"/>
                <w:highlight w:val="cyan"/>
              </w:rPr>
            </w:pPr>
            <w:r w:rsidRPr="005A3887">
              <w:rPr>
                <w:i/>
                <w:iCs/>
                <w:sz w:val="20"/>
                <w:szCs w:val="20"/>
                <w:highlight w:val="cyan"/>
              </w:rPr>
              <w:t xml:space="preserve">Look for a process to clearly mitigate </w:t>
            </w:r>
            <w:proofErr w:type="gramStart"/>
            <w:r w:rsidRPr="005A3887">
              <w:rPr>
                <w:i/>
                <w:iCs/>
                <w:sz w:val="20"/>
                <w:szCs w:val="20"/>
                <w:highlight w:val="cyan"/>
              </w:rPr>
              <w:t>risks</w:t>
            </w:r>
            <w:proofErr w:type="gramEnd"/>
            <w:r w:rsidRPr="005A3887">
              <w:rPr>
                <w:i/>
                <w:iCs/>
                <w:sz w:val="20"/>
                <w:szCs w:val="20"/>
                <w:highlight w:val="cyan"/>
              </w:rPr>
              <w:t xml:space="preserve"> </w:t>
            </w:r>
          </w:p>
          <w:p w14:paraId="7CAC3A8E" w14:textId="6301F87A" w:rsidR="005A3887" w:rsidRPr="005A3887" w:rsidRDefault="005A3887" w:rsidP="005A3887">
            <w:pPr>
              <w:pStyle w:val="TableParagraph"/>
              <w:numPr>
                <w:ilvl w:val="0"/>
                <w:numId w:val="34"/>
              </w:numPr>
              <w:ind w:right="248"/>
              <w:rPr>
                <w:i/>
                <w:iCs/>
                <w:sz w:val="20"/>
                <w:szCs w:val="20"/>
                <w:highlight w:val="cyan"/>
              </w:rPr>
            </w:pPr>
            <w:r w:rsidRPr="005A3887">
              <w:rPr>
                <w:i/>
                <w:iCs/>
                <w:sz w:val="20"/>
                <w:szCs w:val="20"/>
                <w:highlight w:val="cyan"/>
              </w:rPr>
              <w:t xml:space="preserve">Look for a measuring process to assess </w:t>
            </w:r>
            <w:proofErr w:type="gramStart"/>
            <w:r w:rsidRPr="005A3887">
              <w:rPr>
                <w:i/>
                <w:iCs/>
                <w:sz w:val="20"/>
                <w:szCs w:val="20"/>
                <w:highlight w:val="cyan"/>
              </w:rPr>
              <w:t>effectiveness</w:t>
            </w:r>
            <w:proofErr w:type="gramEnd"/>
          </w:p>
          <w:p w14:paraId="52831440" w14:textId="77777777" w:rsidR="005A3887" w:rsidRDefault="005A3887" w:rsidP="005A3887">
            <w:pPr>
              <w:pStyle w:val="TableParagraph"/>
              <w:ind w:left="0" w:right="248"/>
            </w:pPr>
          </w:p>
          <w:p w14:paraId="222BAEF2" w14:textId="77777777" w:rsidR="00DE3851" w:rsidRDefault="00DE3851" w:rsidP="00DE3851">
            <w:pPr>
              <w:pStyle w:val="ListParagraph"/>
            </w:pPr>
          </w:p>
          <w:p w14:paraId="2850CFFB" w14:textId="1D1E9522" w:rsidR="00C518C8" w:rsidRDefault="001223F2" w:rsidP="00DE3851">
            <w:pPr>
              <w:pStyle w:val="TableParagraph"/>
              <w:numPr>
                <w:ilvl w:val="0"/>
                <w:numId w:val="18"/>
              </w:numPr>
              <w:ind w:right="248"/>
            </w:pPr>
            <w:r>
              <w:t xml:space="preserve">monitor compliance, while considering any additional requirements that are applicable to the </w:t>
            </w:r>
            <w:proofErr w:type="gramStart"/>
            <w:r w:rsidR="00DE3851">
              <w:t>organization</w:t>
            </w:r>
            <w:proofErr w:type="gramEnd"/>
          </w:p>
          <w:p w14:paraId="2E19445B" w14:textId="77777777" w:rsidR="00DE3851" w:rsidRDefault="00DE3851" w:rsidP="00DE3851">
            <w:pPr>
              <w:pStyle w:val="TableParagraph"/>
              <w:ind w:left="467" w:right="248"/>
              <w:rPr>
                <w:sz w:val="24"/>
              </w:rPr>
            </w:pPr>
          </w:p>
          <w:p w14:paraId="4AB2D98C" w14:textId="77777777" w:rsidR="00DE3851" w:rsidRDefault="00DE3851" w:rsidP="00DE3851">
            <w:pPr>
              <w:pStyle w:val="TableParagraph"/>
              <w:ind w:right="248"/>
            </w:pPr>
            <w:r>
              <w:t xml:space="preserve">(f) keep their personnel trained, competent, and informed about significant safety issues; and </w:t>
            </w:r>
          </w:p>
          <w:p w14:paraId="14FAF926" w14:textId="77777777" w:rsidR="00DE3851" w:rsidRDefault="00DE3851" w:rsidP="00DE3851">
            <w:pPr>
              <w:pStyle w:val="TableParagraph"/>
              <w:ind w:right="248"/>
            </w:pPr>
          </w:p>
          <w:p w14:paraId="37057E0D" w14:textId="68C18E10" w:rsidR="00DE3851" w:rsidRDefault="00DE3851" w:rsidP="00DE3851">
            <w:pPr>
              <w:pStyle w:val="TableParagraph"/>
              <w:numPr>
                <w:ilvl w:val="0"/>
                <w:numId w:val="18"/>
              </w:numPr>
              <w:ind w:right="248"/>
            </w:pPr>
            <w:r>
              <w:t xml:space="preserve">document all the key management system processes. </w:t>
            </w:r>
          </w:p>
          <w:p w14:paraId="24C61D66" w14:textId="77777777" w:rsidR="00DE3851" w:rsidRDefault="00DE3851" w:rsidP="00DE3851">
            <w:pPr>
              <w:pStyle w:val="TableParagraph"/>
              <w:ind w:left="467" w:right="248"/>
            </w:pPr>
          </w:p>
          <w:p w14:paraId="593B06A1" w14:textId="77777777" w:rsidR="00C34E27" w:rsidRPr="00C34E27" w:rsidRDefault="00DE3851" w:rsidP="00C34E27">
            <w:pPr>
              <w:pStyle w:val="TableParagraph"/>
              <w:ind w:left="62" w:right="248"/>
              <w:rPr>
                <w:b/>
                <w:bCs/>
              </w:rPr>
            </w:pPr>
            <w:r w:rsidRPr="00C34E27">
              <w:rPr>
                <w:b/>
                <w:bCs/>
              </w:rPr>
              <w:t>Compared with the previous Part-145 quality system ‘framework’ (now covered by point (b) and (e)), the new elements that are introduced by the management system are</w:t>
            </w:r>
            <w:proofErr w:type="gramStart"/>
            <w:r w:rsidRPr="00C34E27">
              <w:rPr>
                <w:b/>
                <w:bCs/>
              </w:rPr>
              <w:t>, in particular, those</w:t>
            </w:r>
            <w:proofErr w:type="gramEnd"/>
            <w:r w:rsidRPr="00C34E27">
              <w:rPr>
                <w:b/>
                <w:bCs/>
              </w:rPr>
              <w:t xml:space="preserve"> addressed under points (c) and (d). </w:t>
            </w:r>
          </w:p>
          <w:p w14:paraId="121C282C" w14:textId="77777777" w:rsidR="00C34E27" w:rsidRDefault="00C34E27" w:rsidP="00C34E27">
            <w:pPr>
              <w:pStyle w:val="TableParagraph"/>
              <w:ind w:left="62" w:right="248"/>
            </w:pPr>
          </w:p>
          <w:p w14:paraId="5AA28511" w14:textId="77777777" w:rsidR="00C34E27" w:rsidRPr="00C34E27" w:rsidRDefault="00C34E27" w:rsidP="00C34E27">
            <w:pPr>
              <w:pStyle w:val="TableParagraph"/>
              <w:ind w:right="248"/>
              <w:rPr>
                <w:i/>
                <w:iCs/>
                <w:highlight w:val="cyan"/>
              </w:rPr>
            </w:pPr>
            <w:r w:rsidRPr="00C34E27">
              <w:rPr>
                <w:i/>
                <w:iCs/>
                <w:highlight w:val="cyan"/>
              </w:rPr>
              <w:t xml:space="preserve">implement safety reporting procedures in line with just culture </w:t>
            </w:r>
            <w:proofErr w:type="gramStart"/>
            <w:r w:rsidRPr="00C34E27">
              <w:rPr>
                <w:i/>
                <w:iCs/>
                <w:highlight w:val="cyan"/>
              </w:rPr>
              <w:t>principles;</w:t>
            </w:r>
            <w:proofErr w:type="gramEnd"/>
            <w:r w:rsidRPr="00C34E27">
              <w:rPr>
                <w:i/>
                <w:iCs/>
                <w:highlight w:val="cyan"/>
              </w:rPr>
              <w:t xml:space="preserve"> </w:t>
            </w:r>
          </w:p>
          <w:p w14:paraId="27D7B31F" w14:textId="77777777" w:rsidR="00C34E27" w:rsidRPr="00C34E27" w:rsidRDefault="00C34E27" w:rsidP="00C34E27">
            <w:pPr>
              <w:pStyle w:val="TableParagraph"/>
              <w:ind w:left="467" w:right="248"/>
              <w:rPr>
                <w:i/>
                <w:iCs/>
                <w:highlight w:val="cyan"/>
              </w:rPr>
            </w:pPr>
          </w:p>
          <w:p w14:paraId="18FF6CDA" w14:textId="77777777" w:rsidR="00C34E27" w:rsidRPr="00C34E27" w:rsidRDefault="00C34E27" w:rsidP="00C34E27">
            <w:pPr>
              <w:pStyle w:val="TableParagraph"/>
              <w:ind w:right="248"/>
              <w:rPr>
                <w:i/>
                <w:iCs/>
                <w:highlight w:val="cyan"/>
              </w:rPr>
            </w:pPr>
            <w:r w:rsidRPr="00C34E27">
              <w:rPr>
                <w:i/>
                <w:iCs/>
                <w:highlight w:val="cyan"/>
              </w:rPr>
              <w:t xml:space="preserve">ensure the identification of aviation safety hazards entailed by its activities, ensure their evaluation, and the management of the associated risks, including: </w:t>
            </w:r>
          </w:p>
          <w:p w14:paraId="19FFB0B4" w14:textId="77777777" w:rsidR="00C34E27" w:rsidRPr="00C34E27" w:rsidRDefault="00C34E27" w:rsidP="00C34E27">
            <w:pPr>
              <w:pStyle w:val="ListParagraph"/>
              <w:rPr>
                <w:i/>
                <w:iCs/>
                <w:highlight w:val="cyan"/>
              </w:rPr>
            </w:pPr>
          </w:p>
          <w:p w14:paraId="012AA423" w14:textId="77777777" w:rsidR="00C34E27" w:rsidRPr="00C34E27" w:rsidRDefault="00C34E27" w:rsidP="00C34E27">
            <w:pPr>
              <w:pStyle w:val="TableParagraph"/>
              <w:ind w:left="467" w:right="248"/>
              <w:rPr>
                <w:i/>
                <w:iCs/>
                <w:highlight w:val="cyan"/>
              </w:rPr>
            </w:pPr>
            <w:r w:rsidRPr="00C34E27">
              <w:rPr>
                <w:i/>
                <w:iCs/>
                <w:highlight w:val="cyan"/>
              </w:rPr>
              <w:t xml:space="preserve">(1) taking actions to mitigate the </w:t>
            </w:r>
            <w:proofErr w:type="gramStart"/>
            <w:r w:rsidRPr="00C34E27">
              <w:rPr>
                <w:i/>
                <w:iCs/>
                <w:highlight w:val="cyan"/>
              </w:rPr>
              <w:t>risks;</w:t>
            </w:r>
            <w:proofErr w:type="gramEnd"/>
            <w:r w:rsidRPr="00C34E27">
              <w:rPr>
                <w:i/>
                <w:iCs/>
                <w:highlight w:val="cyan"/>
              </w:rPr>
              <w:t xml:space="preserve"> </w:t>
            </w:r>
          </w:p>
          <w:p w14:paraId="5BE795C6" w14:textId="77777777" w:rsidR="00C34E27" w:rsidRPr="00C34E27" w:rsidRDefault="00C34E27" w:rsidP="00C34E27">
            <w:pPr>
              <w:pStyle w:val="TableParagraph"/>
              <w:ind w:left="467" w:right="248"/>
              <w:rPr>
                <w:i/>
                <w:iCs/>
                <w:highlight w:val="cyan"/>
              </w:rPr>
            </w:pPr>
          </w:p>
          <w:p w14:paraId="5E69BC93" w14:textId="77777777" w:rsidR="00C34E27" w:rsidRPr="00C34E27" w:rsidRDefault="00C34E27" w:rsidP="00C34E27">
            <w:pPr>
              <w:pStyle w:val="TableParagraph"/>
              <w:ind w:left="467" w:right="248"/>
              <w:rPr>
                <w:i/>
                <w:iCs/>
              </w:rPr>
            </w:pPr>
            <w:r w:rsidRPr="00C34E27">
              <w:rPr>
                <w:i/>
                <w:iCs/>
                <w:highlight w:val="cyan"/>
              </w:rPr>
              <w:t xml:space="preserve">(2) verifying the effectiveness of the actions taken to mitigate the </w:t>
            </w:r>
            <w:proofErr w:type="gramStart"/>
            <w:r w:rsidRPr="00C34E27">
              <w:rPr>
                <w:i/>
                <w:iCs/>
                <w:highlight w:val="cyan"/>
              </w:rPr>
              <w:t>risks;</w:t>
            </w:r>
            <w:proofErr w:type="gramEnd"/>
            <w:r w:rsidRPr="00C34E27">
              <w:rPr>
                <w:i/>
                <w:iCs/>
              </w:rPr>
              <w:t xml:space="preserve"> </w:t>
            </w:r>
          </w:p>
          <w:p w14:paraId="71ED2EF8" w14:textId="77777777" w:rsidR="00C34E27" w:rsidRDefault="00C34E27" w:rsidP="00C34E27">
            <w:pPr>
              <w:pStyle w:val="TableParagraph"/>
              <w:ind w:left="62" w:right="248"/>
            </w:pPr>
          </w:p>
          <w:p w14:paraId="64B48107" w14:textId="5510691A" w:rsidR="00DE3851" w:rsidRDefault="00DE3851" w:rsidP="00C34E27">
            <w:pPr>
              <w:pStyle w:val="TableParagraph"/>
              <w:ind w:left="62" w:right="248"/>
            </w:pPr>
            <w:r>
              <w:t xml:space="preserve">145.A.200 introduces the following as key safety management processes; these are further specified in the related AMC and GM: </w:t>
            </w:r>
          </w:p>
          <w:p w14:paraId="29E0625A" w14:textId="77777777" w:rsidR="00C34E27" w:rsidRDefault="00C34E27" w:rsidP="00C34E27">
            <w:pPr>
              <w:pStyle w:val="TableParagraph"/>
              <w:ind w:left="62" w:right="248"/>
            </w:pPr>
          </w:p>
          <w:p w14:paraId="184CFE35" w14:textId="77777777" w:rsidR="00DE3851" w:rsidRPr="001D6452" w:rsidRDefault="00DE3851" w:rsidP="00C34E27">
            <w:pPr>
              <w:pStyle w:val="TableParagraph"/>
              <w:ind w:left="-28" w:right="248"/>
              <w:rPr>
                <w:b/>
                <w:bCs/>
              </w:rPr>
            </w:pPr>
            <w:r w:rsidRPr="001D6452">
              <w:rPr>
                <w:b/>
                <w:bCs/>
              </w:rPr>
              <w:t xml:space="preserve">− Hazard </w:t>
            </w:r>
            <w:proofErr w:type="gramStart"/>
            <w:r w:rsidRPr="001D6452">
              <w:rPr>
                <w:b/>
                <w:bCs/>
              </w:rPr>
              <w:t>identification;</w:t>
            </w:r>
            <w:proofErr w:type="gramEnd"/>
            <w:r w:rsidRPr="001D6452">
              <w:rPr>
                <w:b/>
                <w:bCs/>
              </w:rPr>
              <w:t xml:space="preserve"> </w:t>
            </w:r>
          </w:p>
          <w:p w14:paraId="7455276D" w14:textId="77777777" w:rsidR="00DE3851" w:rsidRPr="001D6452" w:rsidRDefault="00DE3851" w:rsidP="00C34E27">
            <w:pPr>
              <w:pStyle w:val="TableParagraph"/>
              <w:ind w:left="-28" w:right="248"/>
              <w:rPr>
                <w:b/>
                <w:bCs/>
              </w:rPr>
            </w:pPr>
            <w:r w:rsidRPr="001D6452">
              <w:rPr>
                <w:b/>
                <w:bCs/>
              </w:rPr>
              <w:t xml:space="preserve">− Safety risk </w:t>
            </w:r>
            <w:proofErr w:type="gramStart"/>
            <w:r w:rsidRPr="001D6452">
              <w:rPr>
                <w:b/>
                <w:bCs/>
              </w:rPr>
              <w:t>management;</w:t>
            </w:r>
            <w:proofErr w:type="gramEnd"/>
            <w:r w:rsidRPr="001D6452">
              <w:rPr>
                <w:b/>
                <w:bCs/>
              </w:rPr>
              <w:t xml:space="preserve"> </w:t>
            </w:r>
          </w:p>
          <w:p w14:paraId="191E7801" w14:textId="77777777" w:rsidR="00DE3851" w:rsidRPr="001D6452" w:rsidRDefault="00DE3851" w:rsidP="00C34E27">
            <w:pPr>
              <w:pStyle w:val="TableParagraph"/>
              <w:ind w:left="-28" w:right="248"/>
              <w:rPr>
                <w:b/>
                <w:bCs/>
              </w:rPr>
            </w:pPr>
            <w:r w:rsidRPr="001D6452">
              <w:rPr>
                <w:b/>
                <w:bCs/>
              </w:rPr>
              <w:t xml:space="preserve">− Internal </w:t>
            </w:r>
            <w:proofErr w:type="gramStart"/>
            <w:r w:rsidRPr="001D6452">
              <w:rPr>
                <w:b/>
                <w:bCs/>
              </w:rPr>
              <w:t>investigation;</w:t>
            </w:r>
            <w:proofErr w:type="gramEnd"/>
            <w:r w:rsidRPr="001D6452">
              <w:rPr>
                <w:b/>
                <w:bCs/>
              </w:rPr>
              <w:t xml:space="preserve"> </w:t>
            </w:r>
          </w:p>
          <w:p w14:paraId="17B480B9" w14:textId="77777777" w:rsidR="00DE3851" w:rsidRPr="001D6452" w:rsidRDefault="00DE3851" w:rsidP="00C34E27">
            <w:pPr>
              <w:pStyle w:val="TableParagraph"/>
              <w:ind w:left="-28" w:right="248"/>
              <w:rPr>
                <w:b/>
                <w:bCs/>
              </w:rPr>
            </w:pPr>
            <w:r w:rsidRPr="001D6452">
              <w:rPr>
                <w:b/>
                <w:bCs/>
              </w:rPr>
              <w:t xml:space="preserve">− Safety performance monitoring and </w:t>
            </w:r>
            <w:proofErr w:type="gramStart"/>
            <w:r w:rsidRPr="001D6452">
              <w:rPr>
                <w:b/>
                <w:bCs/>
              </w:rPr>
              <w:t>measurement;</w:t>
            </w:r>
            <w:proofErr w:type="gramEnd"/>
            <w:r w:rsidRPr="001D6452">
              <w:rPr>
                <w:b/>
                <w:bCs/>
              </w:rPr>
              <w:t xml:space="preserve"> </w:t>
            </w:r>
          </w:p>
          <w:p w14:paraId="57870DB6" w14:textId="77777777" w:rsidR="00DE3851" w:rsidRPr="001D6452" w:rsidRDefault="00DE3851" w:rsidP="00C34E27">
            <w:pPr>
              <w:pStyle w:val="TableParagraph"/>
              <w:ind w:left="-28" w:right="248"/>
              <w:rPr>
                <w:b/>
                <w:bCs/>
              </w:rPr>
            </w:pPr>
            <w:r w:rsidRPr="001D6452">
              <w:rPr>
                <w:b/>
                <w:bCs/>
              </w:rPr>
              <w:t xml:space="preserve">− Management of </w:t>
            </w:r>
            <w:proofErr w:type="gramStart"/>
            <w:r w:rsidRPr="001D6452">
              <w:rPr>
                <w:b/>
                <w:bCs/>
              </w:rPr>
              <w:t>change;</w:t>
            </w:r>
            <w:proofErr w:type="gramEnd"/>
            <w:r w:rsidRPr="001D6452">
              <w:rPr>
                <w:b/>
                <w:bCs/>
              </w:rPr>
              <w:t xml:space="preserve"> </w:t>
            </w:r>
          </w:p>
          <w:p w14:paraId="1011FFE3" w14:textId="77777777" w:rsidR="00DE3851" w:rsidRPr="001D6452" w:rsidRDefault="00DE3851" w:rsidP="00C34E27">
            <w:pPr>
              <w:pStyle w:val="TableParagraph"/>
              <w:ind w:left="-28" w:right="248"/>
              <w:rPr>
                <w:b/>
                <w:bCs/>
              </w:rPr>
            </w:pPr>
            <w:r w:rsidRPr="001D6452">
              <w:rPr>
                <w:b/>
                <w:bCs/>
              </w:rPr>
              <w:t xml:space="preserve">− Continuous </w:t>
            </w:r>
            <w:proofErr w:type="gramStart"/>
            <w:r w:rsidRPr="001D6452">
              <w:rPr>
                <w:b/>
                <w:bCs/>
              </w:rPr>
              <w:t>improvement;</w:t>
            </w:r>
            <w:proofErr w:type="gramEnd"/>
            <w:r w:rsidRPr="001D6452">
              <w:rPr>
                <w:b/>
                <w:bCs/>
              </w:rPr>
              <w:t xml:space="preserve"> </w:t>
            </w:r>
          </w:p>
          <w:p w14:paraId="12A66200" w14:textId="77777777" w:rsidR="00DE3851" w:rsidRPr="001D6452" w:rsidRDefault="00DE3851" w:rsidP="00C34E27">
            <w:pPr>
              <w:pStyle w:val="TableParagraph"/>
              <w:ind w:left="-28" w:right="248"/>
              <w:rPr>
                <w:b/>
                <w:bCs/>
              </w:rPr>
            </w:pPr>
            <w:r w:rsidRPr="001D6452">
              <w:rPr>
                <w:b/>
                <w:bCs/>
              </w:rPr>
              <w:t xml:space="preserve">− Immediate safety action and coordination with the aircraft operator’s Emergency Response Plan (ERP). </w:t>
            </w:r>
          </w:p>
          <w:p w14:paraId="6DEE6917" w14:textId="77777777" w:rsidR="00DE3851" w:rsidRDefault="00DE3851" w:rsidP="00DE3851">
            <w:pPr>
              <w:pStyle w:val="TableParagraph"/>
              <w:ind w:left="467" w:right="248"/>
            </w:pPr>
          </w:p>
          <w:p w14:paraId="070B90C2" w14:textId="77777777" w:rsidR="00DE3851" w:rsidRPr="005A3887" w:rsidRDefault="00DE3851" w:rsidP="00DE3851">
            <w:pPr>
              <w:pStyle w:val="TableParagraph"/>
              <w:ind w:left="467" w:right="248"/>
              <w:rPr>
                <w:b/>
                <w:bCs/>
                <w:highlight w:val="yellow"/>
              </w:rPr>
            </w:pPr>
            <w:r w:rsidRPr="005A3887">
              <w:rPr>
                <w:b/>
                <w:bCs/>
                <w:highlight w:val="yellow"/>
              </w:rPr>
              <w:t xml:space="preserve">It is important to recognise that safety management will be a continuous activity, as hazards, risks and the effectiveness of safety risk mitigations will change over time. </w:t>
            </w:r>
          </w:p>
          <w:p w14:paraId="2E6D3E66" w14:textId="77777777" w:rsidR="00DE3851" w:rsidRPr="005A3887" w:rsidRDefault="00DE3851" w:rsidP="00DE3851">
            <w:pPr>
              <w:pStyle w:val="TableParagraph"/>
              <w:ind w:left="467" w:right="248"/>
              <w:rPr>
                <w:b/>
                <w:bCs/>
                <w:highlight w:val="yellow"/>
              </w:rPr>
            </w:pPr>
          </w:p>
          <w:p w14:paraId="7D70C8C6" w14:textId="77777777" w:rsidR="00C34E27" w:rsidRPr="005A3887" w:rsidRDefault="00DE3851" w:rsidP="00DE3851">
            <w:pPr>
              <w:pStyle w:val="TableParagraph"/>
              <w:ind w:left="467" w:right="248"/>
              <w:rPr>
                <w:b/>
                <w:bCs/>
              </w:rPr>
            </w:pPr>
            <w:r w:rsidRPr="005A3887">
              <w:rPr>
                <w:b/>
                <w:bCs/>
                <w:highlight w:val="yellow"/>
              </w:rPr>
              <w:t>These key safety management processes are supported by a compliance monitoring function as an integral part of the management system.</w:t>
            </w:r>
            <w:r w:rsidRPr="005A3887">
              <w:rPr>
                <w:b/>
                <w:bCs/>
              </w:rPr>
              <w:t xml:space="preserve"> </w:t>
            </w:r>
          </w:p>
          <w:p w14:paraId="465584DC" w14:textId="77777777" w:rsidR="00C34E27" w:rsidRPr="00C34E27" w:rsidRDefault="00C34E27" w:rsidP="00DE3851">
            <w:pPr>
              <w:pStyle w:val="TableParagraph"/>
              <w:ind w:left="467" w:right="248"/>
              <w:rPr>
                <w:b/>
                <w:bCs/>
                <w:i/>
                <w:iCs/>
              </w:rPr>
            </w:pPr>
          </w:p>
          <w:p w14:paraId="1FE09657" w14:textId="26C55805" w:rsidR="00C34E27" w:rsidRPr="00C34E27" w:rsidRDefault="00C34E27" w:rsidP="00C34E27">
            <w:pPr>
              <w:pStyle w:val="TableParagraph"/>
              <w:ind w:left="152" w:right="248"/>
              <w:rPr>
                <w:i/>
                <w:iCs/>
              </w:rPr>
            </w:pPr>
            <w:r w:rsidRPr="00C34E27">
              <w:rPr>
                <w:i/>
                <w:iCs/>
                <w:highlight w:val="cyan"/>
              </w:rPr>
              <w:t xml:space="preserve">Note that SMS is supported by Compliance and not the other way around – how is this evidenced within the 145 </w:t>
            </w:r>
            <w:proofErr w:type="gramStart"/>
            <w:r w:rsidRPr="00C34E27">
              <w:rPr>
                <w:i/>
                <w:iCs/>
                <w:highlight w:val="cyan"/>
              </w:rPr>
              <w:t>Organisation</w:t>
            </w:r>
            <w:proofErr w:type="gramEnd"/>
          </w:p>
          <w:p w14:paraId="0984F886" w14:textId="77777777" w:rsidR="00C34E27" w:rsidRDefault="00C34E27" w:rsidP="00DE3851">
            <w:pPr>
              <w:pStyle w:val="TableParagraph"/>
              <w:ind w:left="467" w:right="248"/>
            </w:pPr>
          </w:p>
          <w:p w14:paraId="6081ED0E" w14:textId="77777777" w:rsidR="00BC3B44" w:rsidRDefault="00BC3B44" w:rsidP="00BC3B44">
            <w:pPr>
              <w:pStyle w:val="TableParagraph"/>
              <w:ind w:right="248"/>
            </w:pPr>
            <w:r>
              <w:t>E</w:t>
            </w:r>
            <w:r w:rsidR="00DE3851">
              <w:t xml:space="preserve">nsuring effective compliance with the regulations during daily operations and independent monitoring of compliance are fundamental to any management system for safety. </w:t>
            </w:r>
          </w:p>
          <w:p w14:paraId="2FE78DD8" w14:textId="77777777" w:rsidR="00BC3B44" w:rsidRDefault="00BC3B44" w:rsidP="00BC3B44">
            <w:pPr>
              <w:pStyle w:val="TableParagraph"/>
              <w:ind w:right="248"/>
            </w:pPr>
          </w:p>
          <w:p w14:paraId="71C2CC21" w14:textId="77777777" w:rsidR="00BC3B44" w:rsidRDefault="00DE3851" w:rsidP="00BC3B44">
            <w:pPr>
              <w:pStyle w:val="TableParagraph"/>
              <w:ind w:right="248"/>
            </w:pPr>
            <w:r>
              <w:t xml:space="preserve">The compliance monitoring function may, in addition, support the follow-up of safety risk mitigation actions. </w:t>
            </w:r>
          </w:p>
          <w:p w14:paraId="70780687" w14:textId="77777777" w:rsidR="00BC3B44" w:rsidRDefault="00BC3B44" w:rsidP="00BC3B44">
            <w:pPr>
              <w:pStyle w:val="TableParagraph"/>
              <w:ind w:right="248"/>
            </w:pPr>
          </w:p>
          <w:p w14:paraId="3C131EBA" w14:textId="77777777" w:rsidR="00BC3B44" w:rsidRDefault="00DE3851" w:rsidP="00BC3B44">
            <w:pPr>
              <w:pStyle w:val="TableParagraph"/>
              <w:ind w:right="248"/>
            </w:pPr>
            <w:r>
              <w:t xml:space="preserve">Moreover, where non-compliances are identified through internal audits, the causes will be thoroughly assessed and </w:t>
            </w:r>
            <w:proofErr w:type="spellStart"/>
            <w:r>
              <w:t>analysed</w:t>
            </w:r>
            <w:proofErr w:type="spellEnd"/>
            <w:r>
              <w:t xml:space="preserve">. </w:t>
            </w:r>
          </w:p>
          <w:p w14:paraId="2F86254F" w14:textId="77777777" w:rsidR="00BC3B44" w:rsidRDefault="00BC3B44" w:rsidP="00BC3B44">
            <w:pPr>
              <w:pStyle w:val="TableParagraph"/>
              <w:ind w:right="248"/>
            </w:pPr>
          </w:p>
          <w:p w14:paraId="496A4980" w14:textId="448EA614" w:rsidR="00BC3B44" w:rsidRDefault="00DE3851" w:rsidP="00BC3B44">
            <w:pPr>
              <w:pStyle w:val="TableParagraph"/>
              <w:ind w:right="248"/>
            </w:pPr>
            <w:r>
              <w:t xml:space="preserve">Such an analysis in return supports the risk management process by providing insights into causal and contributing factors, including human factors, organisational </w:t>
            </w:r>
            <w:proofErr w:type="gramStart"/>
            <w:r>
              <w:t>factors</w:t>
            </w:r>
            <w:proofErr w:type="gramEnd"/>
            <w:r>
              <w:t xml:space="preserve"> and the environment in which the organisation operates. </w:t>
            </w:r>
          </w:p>
          <w:p w14:paraId="47F7CECA" w14:textId="77777777" w:rsidR="00BC3B44" w:rsidRPr="00D16064" w:rsidRDefault="00BC3B44" w:rsidP="00BC3B44">
            <w:pPr>
              <w:pStyle w:val="TableParagraph"/>
              <w:ind w:right="248"/>
              <w:rPr>
                <w:i/>
                <w:iCs/>
              </w:rPr>
            </w:pPr>
          </w:p>
          <w:p w14:paraId="070EBCBC" w14:textId="347B2D10" w:rsidR="00BC3B44" w:rsidRPr="00D16064" w:rsidRDefault="00BC3B44" w:rsidP="00BC3B44">
            <w:pPr>
              <w:pStyle w:val="TableParagraph"/>
              <w:ind w:right="248"/>
              <w:rPr>
                <w:i/>
                <w:iCs/>
              </w:rPr>
            </w:pPr>
            <w:r w:rsidRPr="00D16064">
              <w:rPr>
                <w:i/>
                <w:iCs/>
                <w:highlight w:val="cyan"/>
              </w:rPr>
              <w:t>Note S</w:t>
            </w:r>
            <w:r w:rsidR="00D16064" w:rsidRPr="00D16064">
              <w:rPr>
                <w:i/>
                <w:iCs/>
                <w:highlight w:val="cyan"/>
              </w:rPr>
              <w:t xml:space="preserve">MS processes are used to analyse Audit </w:t>
            </w:r>
            <w:proofErr w:type="gramStart"/>
            <w:r w:rsidR="00D16064" w:rsidRPr="00D16064">
              <w:rPr>
                <w:i/>
                <w:iCs/>
                <w:highlight w:val="cyan"/>
              </w:rPr>
              <w:t xml:space="preserve">Non </w:t>
            </w:r>
            <w:r w:rsidR="00D16064" w:rsidRPr="009F334F">
              <w:rPr>
                <w:i/>
                <w:iCs/>
                <w:highlight w:val="cyan"/>
              </w:rPr>
              <w:t>Compliance</w:t>
            </w:r>
            <w:r w:rsidR="009F334F" w:rsidRPr="009F334F">
              <w:rPr>
                <w:i/>
                <w:iCs/>
                <w:highlight w:val="cyan"/>
              </w:rPr>
              <w:t>s</w:t>
            </w:r>
            <w:proofErr w:type="gramEnd"/>
            <w:r w:rsidR="009F334F" w:rsidRPr="009F334F">
              <w:rPr>
                <w:i/>
                <w:iCs/>
                <w:highlight w:val="cyan"/>
              </w:rPr>
              <w:t xml:space="preserve"> how is this evidenced</w:t>
            </w:r>
            <w:r w:rsidR="009F334F">
              <w:rPr>
                <w:i/>
                <w:iCs/>
              </w:rPr>
              <w:t xml:space="preserve"> </w:t>
            </w:r>
          </w:p>
          <w:p w14:paraId="67043937" w14:textId="77777777" w:rsidR="00D16064" w:rsidRDefault="00D16064" w:rsidP="00BC3B44">
            <w:pPr>
              <w:pStyle w:val="TableParagraph"/>
              <w:ind w:right="248"/>
            </w:pPr>
          </w:p>
          <w:p w14:paraId="67447B04" w14:textId="77777777" w:rsidR="009F334F" w:rsidRPr="009F334F" w:rsidRDefault="00DE3851" w:rsidP="00BC3B44">
            <w:pPr>
              <w:pStyle w:val="TableParagraph"/>
              <w:ind w:right="248"/>
              <w:rPr>
                <w:i/>
                <w:iCs/>
                <w:highlight w:val="cyan"/>
              </w:rPr>
            </w:pPr>
            <w:r w:rsidRPr="009F334F">
              <w:rPr>
                <w:i/>
                <w:iCs/>
                <w:highlight w:val="cyan"/>
              </w:rPr>
              <w:t xml:space="preserve">In this way, the outputs of compliance monitoring become some of the various </w:t>
            </w:r>
            <w:r w:rsidRPr="009F334F">
              <w:rPr>
                <w:i/>
                <w:iCs/>
                <w:highlight w:val="cyan"/>
              </w:rPr>
              <w:lastRenderedPageBreak/>
              <w:t xml:space="preserve">inputs to the safety risk management functions. </w:t>
            </w:r>
          </w:p>
          <w:p w14:paraId="59244BF3" w14:textId="77777777" w:rsidR="009F334F" w:rsidRPr="009F334F" w:rsidRDefault="009F334F" w:rsidP="00BC3B44">
            <w:pPr>
              <w:pStyle w:val="TableParagraph"/>
              <w:ind w:right="248"/>
              <w:rPr>
                <w:i/>
                <w:iCs/>
                <w:highlight w:val="cyan"/>
              </w:rPr>
            </w:pPr>
          </w:p>
          <w:p w14:paraId="097FAC7D" w14:textId="77777777" w:rsidR="009F334F" w:rsidRPr="009F334F" w:rsidRDefault="00DE3851" w:rsidP="00BC3B44">
            <w:pPr>
              <w:pStyle w:val="TableParagraph"/>
              <w:ind w:right="248"/>
              <w:rPr>
                <w:i/>
                <w:iCs/>
              </w:rPr>
            </w:pPr>
            <w:r w:rsidRPr="009F334F">
              <w:rPr>
                <w:i/>
                <w:iCs/>
                <w:highlight w:val="cyan"/>
              </w:rPr>
              <w:t>Conversely, the output of the safety risk management processes may be used to determine focus areas for compliance monitoring.</w:t>
            </w:r>
            <w:r w:rsidRPr="009F334F">
              <w:rPr>
                <w:i/>
                <w:iCs/>
              </w:rPr>
              <w:t xml:space="preserve"> </w:t>
            </w:r>
          </w:p>
          <w:p w14:paraId="2B8F537C" w14:textId="77777777" w:rsidR="009F334F" w:rsidRDefault="009F334F" w:rsidP="00BC3B44">
            <w:pPr>
              <w:pStyle w:val="TableParagraph"/>
              <w:ind w:right="248"/>
            </w:pPr>
          </w:p>
          <w:p w14:paraId="0BAF8857" w14:textId="77777777" w:rsidR="009F334F" w:rsidRDefault="00DE3851" w:rsidP="00BC3B44">
            <w:pPr>
              <w:pStyle w:val="TableParagraph"/>
              <w:ind w:right="248"/>
            </w:pPr>
            <w:r>
              <w:t xml:space="preserve">In this way, internal audits will inform the organisation’s management of the level of compliance within the organisation, whether safety risk mitigation actions have been implemented, and where corrective or preventive action is required. </w:t>
            </w:r>
          </w:p>
          <w:p w14:paraId="0238823A" w14:textId="77777777" w:rsidR="009F334F" w:rsidRDefault="009F334F" w:rsidP="00BC3B44">
            <w:pPr>
              <w:pStyle w:val="TableParagraph"/>
              <w:ind w:right="248"/>
            </w:pPr>
          </w:p>
          <w:p w14:paraId="12BE168C" w14:textId="2A7EFAFE" w:rsidR="009F334F" w:rsidRPr="009F334F" w:rsidRDefault="00DE3851" w:rsidP="009F334F">
            <w:pPr>
              <w:pStyle w:val="TableParagraph"/>
              <w:ind w:right="248"/>
              <w:jc w:val="center"/>
              <w:rPr>
                <w:b/>
                <w:bCs/>
              </w:rPr>
            </w:pPr>
            <w:r w:rsidRPr="009F334F">
              <w:rPr>
                <w:b/>
                <w:bCs/>
                <w:highlight w:val="yellow"/>
              </w:rPr>
              <w:t>The combination of safety risk management and compliance monitoring should lead to an enhanced understanding of the end-to-end process and the process interfaces, exposing opportunities for increased efficiencies, which are not limited to safety aspects.</w:t>
            </w:r>
          </w:p>
          <w:p w14:paraId="6D2E7658" w14:textId="77777777" w:rsidR="009F334F" w:rsidRDefault="009F334F" w:rsidP="00BC3B44">
            <w:pPr>
              <w:pStyle w:val="TableParagraph"/>
              <w:ind w:right="248"/>
            </w:pPr>
          </w:p>
          <w:p w14:paraId="74E76EF1" w14:textId="2EE4ADD6" w:rsidR="001D6452" w:rsidRDefault="001D6452" w:rsidP="00BC3B44">
            <w:pPr>
              <w:pStyle w:val="TableParagraph"/>
              <w:ind w:right="248"/>
            </w:pPr>
            <w:r>
              <w:t>T</w:t>
            </w:r>
            <w:r w:rsidR="00DE3851">
              <w:t xml:space="preserve">he primary focus of the key safety management processes is on the organisational processes and procedures, but it also relies on the humans in the system. </w:t>
            </w:r>
          </w:p>
          <w:p w14:paraId="6351ABE2" w14:textId="77777777" w:rsidR="00910E44" w:rsidRDefault="00910E44" w:rsidP="00BC3B44">
            <w:pPr>
              <w:pStyle w:val="TableParagraph"/>
              <w:ind w:right="248"/>
            </w:pPr>
          </w:p>
          <w:p w14:paraId="465585DA" w14:textId="09EED13E" w:rsidR="00910E44" w:rsidRPr="00910E44" w:rsidRDefault="00910E44" w:rsidP="00BC3B44">
            <w:pPr>
              <w:pStyle w:val="TableParagraph"/>
              <w:ind w:right="248"/>
              <w:rPr>
                <w:i/>
                <w:iCs/>
              </w:rPr>
            </w:pPr>
            <w:r w:rsidRPr="00910E44">
              <w:rPr>
                <w:i/>
                <w:iCs/>
                <w:highlight w:val="cyan"/>
              </w:rPr>
              <w:t>Audit Check Points – Review how the Compliance Audit Findings become data for the SMS – How is it evidenced &amp; managed?</w:t>
            </w:r>
            <w:r w:rsidRPr="00910E44">
              <w:rPr>
                <w:i/>
                <w:iCs/>
              </w:rPr>
              <w:t xml:space="preserve"> </w:t>
            </w:r>
          </w:p>
          <w:p w14:paraId="7D17F790" w14:textId="7DD0D833" w:rsidR="009E23AC" w:rsidRDefault="009E23AC" w:rsidP="001A0AAE">
            <w:pPr>
              <w:pStyle w:val="TableParagraph"/>
              <w:ind w:left="467" w:right="248"/>
              <w:rPr>
                <w:sz w:val="24"/>
              </w:rPr>
            </w:pPr>
          </w:p>
        </w:tc>
        <w:tc>
          <w:tcPr>
            <w:tcW w:w="4203" w:type="dxa"/>
          </w:tcPr>
          <w:p w14:paraId="1B815344" w14:textId="77777777" w:rsidR="00C518C8" w:rsidRDefault="00C518C8">
            <w:pPr>
              <w:pStyle w:val="TableParagraph"/>
              <w:ind w:left="0"/>
              <w:rPr>
                <w:rFonts w:ascii="Times New Roman"/>
                <w:sz w:val="24"/>
              </w:rPr>
            </w:pPr>
          </w:p>
        </w:tc>
      </w:tr>
      <w:tr w:rsidR="00C518C8" w14:paraId="3E16D6D7" w14:textId="77777777">
        <w:trPr>
          <w:trHeight w:val="1379"/>
        </w:trPr>
        <w:tc>
          <w:tcPr>
            <w:tcW w:w="4815" w:type="dxa"/>
          </w:tcPr>
          <w:p w14:paraId="38B19A19" w14:textId="60884416" w:rsidR="009E23AC" w:rsidRDefault="009E23AC">
            <w:pPr>
              <w:pStyle w:val="TableParagraph"/>
              <w:ind w:right="248"/>
            </w:pPr>
            <w:r w:rsidRPr="009E23AC">
              <w:rPr>
                <w:b/>
                <w:bCs/>
              </w:rPr>
              <w:lastRenderedPageBreak/>
              <w:t>AMC1 145.A.200(a)(1) Management system</w:t>
            </w:r>
            <w:r>
              <w:t xml:space="preserve"> ED Decision 2022/011/R </w:t>
            </w:r>
          </w:p>
          <w:p w14:paraId="579B909B" w14:textId="77777777" w:rsidR="009E23AC" w:rsidRDefault="009E23AC">
            <w:pPr>
              <w:pStyle w:val="TableParagraph"/>
              <w:ind w:right="248"/>
            </w:pPr>
          </w:p>
          <w:p w14:paraId="65436FD8" w14:textId="5DC6E2D0" w:rsidR="009E23AC" w:rsidRDefault="009E23AC">
            <w:pPr>
              <w:pStyle w:val="TableParagraph"/>
              <w:ind w:right="248"/>
            </w:pPr>
            <w:r>
              <w:t xml:space="preserve">ORGANISATION AND ACCOUNTABILITIES (a). The functions of the safety manager are those defined in AMC1 145.A.30(c);(ca). </w:t>
            </w:r>
          </w:p>
          <w:p w14:paraId="50785C4E" w14:textId="77777777" w:rsidR="009E23AC" w:rsidRDefault="009E23AC">
            <w:pPr>
              <w:pStyle w:val="TableParagraph"/>
              <w:ind w:right="248"/>
            </w:pPr>
          </w:p>
          <w:p w14:paraId="12598A13" w14:textId="77777777" w:rsidR="001A0AAE" w:rsidRPr="00637893" w:rsidRDefault="001A0AAE" w:rsidP="001A0AAE">
            <w:pPr>
              <w:pStyle w:val="TableParagraph"/>
              <w:ind w:right="248"/>
              <w:rPr>
                <w:b/>
                <w:bCs/>
                <w:sz w:val="26"/>
                <w:szCs w:val="26"/>
              </w:rPr>
            </w:pPr>
            <w:r w:rsidRPr="00637893">
              <w:rPr>
                <w:b/>
                <w:bCs/>
                <w:sz w:val="26"/>
                <w:szCs w:val="26"/>
              </w:rPr>
              <w:t>The functions of the safety manager should be to:</w:t>
            </w:r>
          </w:p>
          <w:p w14:paraId="5CDDA256" w14:textId="77777777" w:rsidR="001A0AAE" w:rsidRDefault="001A0AAE" w:rsidP="001A0AAE">
            <w:pPr>
              <w:pStyle w:val="TableParagraph"/>
              <w:ind w:right="248"/>
            </w:pPr>
          </w:p>
          <w:p w14:paraId="1012B01B" w14:textId="77777777" w:rsidR="001A0AAE" w:rsidRDefault="001A0AAE" w:rsidP="001A0AAE">
            <w:pPr>
              <w:pStyle w:val="TableParagraph"/>
              <w:ind w:right="248"/>
            </w:pPr>
            <w:r>
              <w:t>(</w:t>
            </w:r>
            <w:proofErr w:type="spellStart"/>
            <w:r>
              <w:t>i</w:t>
            </w:r>
            <w:proofErr w:type="spellEnd"/>
            <w:r>
              <w:t xml:space="preserve">) facilitate hazard identification, risk assessment and </w:t>
            </w:r>
            <w:proofErr w:type="gramStart"/>
            <w:r>
              <w:t>management;</w:t>
            </w:r>
            <w:proofErr w:type="gramEnd"/>
          </w:p>
          <w:p w14:paraId="2E88CD21" w14:textId="77777777" w:rsidR="001A0AAE" w:rsidRDefault="001A0AAE" w:rsidP="001A0AAE">
            <w:pPr>
              <w:pStyle w:val="TableParagraph"/>
              <w:ind w:right="248"/>
            </w:pPr>
          </w:p>
          <w:p w14:paraId="69D3CEC6" w14:textId="1DD0856D" w:rsidR="00910E44" w:rsidRPr="00910E44" w:rsidRDefault="00910E44" w:rsidP="001A0AAE">
            <w:pPr>
              <w:pStyle w:val="TableParagraph"/>
              <w:ind w:right="248"/>
              <w:rPr>
                <w:i/>
                <w:iCs/>
                <w:highlight w:val="cyan"/>
              </w:rPr>
            </w:pPr>
            <w:r>
              <w:rPr>
                <w:i/>
                <w:iCs/>
                <w:highlight w:val="cyan"/>
              </w:rPr>
              <w:t xml:space="preserve">Audit Check Points - </w:t>
            </w:r>
            <w:r w:rsidRPr="00910E44">
              <w:rPr>
                <w:i/>
                <w:iCs/>
                <w:highlight w:val="cyan"/>
              </w:rPr>
              <w:t xml:space="preserve">Review the method and evidence of the hazard identification within the </w:t>
            </w:r>
            <w:proofErr w:type="gramStart"/>
            <w:r w:rsidRPr="00910E44">
              <w:rPr>
                <w:i/>
                <w:iCs/>
                <w:highlight w:val="cyan"/>
              </w:rPr>
              <w:t>organisation</w:t>
            </w:r>
            <w:proofErr w:type="gramEnd"/>
            <w:r w:rsidRPr="00910E44">
              <w:rPr>
                <w:i/>
                <w:iCs/>
                <w:highlight w:val="cyan"/>
              </w:rPr>
              <w:t xml:space="preserve"> </w:t>
            </w:r>
          </w:p>
          <w:p w14:paraId="6F711AA1" w14:textId="77777777" w:rsidR="00910E44" w:rsidRPr="00910E44" w:rsidRDefault="00910E44" w:rsidP="001A0AAE">
            <w:pPr>
              <w:pStyle w:val="TableParagraph"/>
              <w:ind w:right="248"/>
              <w:rPr>
                <w:i/>
                <w:iCs/>
                <w:highlight w:val="cyan"/>
              </w:rPr>
            </w:pPr>
          </w:p>
          <w:p w14:paraId="5EB9F530" w14:textId="40481313" w:rsidR="00910E44" w:rsidRPr="00910E44" w:rsidRDefault="00910E44" w:rsidP="001A0AAE">
            <w:pPr>
              <w:pStyle w:val="TableParagraph"/>
              <w:ind w:right="248"/>
              <w:rPr>
                <w:i/>
                <w:iCs/>
              </w:rPr>
            </w:pPr>
            <w:r w:rsidRPr="00910E44">
              <w:rPr>
                <w:i/>
                <w:iCs/>
                <w:highlight w:val="cyan"/>
              </w:rPr>
              <w:t>What are the drivers for this (review both re-active and proactive drivers</w:t>
            </w:r>
            <w:r w:rsidRPr="00910E44">
              <w:rPr>
                <w:i/>
                <w:iCs/>
              </w:rPr>
              <w:t xml:space="preserve"> </w:t>
            </w:r>
          </w:p>
          <w:p w14:paraId="76C24C6D" w14:textId="77777777" w:rsidR="00910E44" w:rsidRDefault="00910E44" w:rsidP="001A0AAE">
            <w:pPr>
              <w:pStyle w:val="TableParagraph"/>
              <w:ind w:right="248"/>
            </w:pPr>
          </w:p>
          <w:p w14:paraId="37FAADF0" w14:textId="77777777" w:rsidR="001A0AAE" w:rsidRDefault="001A0AAE" w:rsidP="001A0AAE">
            <w:pPr>
              <w:pStyle w:val="TableParagraph"/>
              <w:ind w:right="248"/>
            </w:pPr>
            <w:r>
              <w:t xml:space="preserve">(ii) monitor the implementation of actions taken to mitigate risks, as listed in the safety action plan, unless action follow-up is addressed by the compliance monitoring </w:t>
            </w:r>
            <w:proofErr w:type="gramStart"/>
            <w:r>
              <w:t>function;</w:t>
            </w:r>
            <w:proofErr w:type="gramEnd"/>
          </w:p>
          <w:p w14:paraId="0EC11F20" w14:textId="77777777" w:rsidR="001A0AAE" w:rsidRDefault="001A0AAE" w:rsidP="001A0AAE">
            <w:pPr>
              <w:pStyle w:val="TableParagraph"/>
              <w:ind w:right="248"/>
            </w:pPr>
          </w:p>
          <w:p w14:paraId="26EF9785" w14:textId="513238FD" w:rsidR="001A0AAE" w:rsidRDefault="001A0AAE" w:rsidP="001A0AAE">
            <w:pPr>
              <w:pStyle w:val="TableParagraph"/>
              <w:ind w:right="248"/>
            </w:pPr>
            <w:r>
              <w:lastRenderedPageBreak/>
              <w:t>(iii) provide periodic reports on safety performance to the safety review board (the functions of the safety review board are those defined in AMC1 145.A.200(a)(1)</w:t>
            </w:r>
            <w:proofErr w:type="gramStart"/>
            <w:r>
              <w:t>);</w:t>
            </w:r>
            <w:proofErr w:type="gramEnd"/>
          </w:p>
          <w:p w14:paraId="5CCA81C2" w14:textId="77777777" w:rsidR="00B167AB" w:rsidRDefault="00B167AB" w:rsidP="001A0AAE">
            <w:pPr>
              <w:pStyle w:val="TableParagraph"/>
              <w:ind w:right="248"/>
            </w:pPr>
          </w:p>
          <w:p w14:paraId="50C8555E" w14:textId="60CDDE74" w:rsidR="00B167AB" w:rsidRPr="00B167AB" w:rsidRDefault="00B167AB" w:rsidP="001A0AAE">
            <w:pPr>
              <w:pStyle w:val="TableParagraph"/>
              <w:ind w:right="248"/>
              <w:rPr>
                <w:i/>
                <w:iCs/>
                <w:sz w:val="20"/>
                <w:szCs w:val="20"/>
              </w:rPr>
            </w:pPr>
            <w:r w:rsidRPr="00B167AB">
              <w:rPr>
                <w:i/>
                <w:iCs/>
                <w:sz w:val="20"/>
                <w:szCs w:val="20"/>
                <w:highlight w:val="cyan"/>
              </w:rPr>
              <w:t>Audit Check Point – Review the format and Content of the Periodic Reports – Provided to the SRB – Does it meet the objective?</w:t>
            </w:r>
          </w:p>
          <w:p w14:paraId="5390B3B4" w14:textId="77777777" w:rsidR="001A0AAE" w:rsidRDefault="001A0AAE" w:rsidP="001A0AAE">
            <w:pPr>
              <w:pStyle w:val="TableParagraph"/>
              <w:ind w:right="248"/>
            </w:pPr>
          </w:p>
          <w:p w14:paraId="5094A028" w14:textId="21D3C09B" w:rsidR="001A0AAE" w:rsidRDefault="001A0AAE" w:rsidP="001A0AAE">
            <w:pPr>
              <w:pStyle w:val="TableParagraph"/>
              <w:ind w:right="248"/>
            </w:pPr>
            <w:r>
              <w:t xml:space="preserve">(iv) ensure the maintenance of safety management </w:t>
            </w:r>
            <w:proofErr w:type="gramStart"/>
            <w:r>
              <w:t>documentation;</w:t>
            </w:r>
            <w:proofErr w:type="gramEnd"/>
          </w:p>
          <w:p w14:paraId="606C120D" w14:textId="77777777" w:rsidR="001A0AAE" w:rsidRDefault="001A0AAE" w:rsidP="001A0AAE">
            <w:pPr>
              <w:pStyle w:val="TableParagraph"/>
              <w:ind w:right="248"/>
            </w:pPr>
          </w:p>
          <w:p w14:paraId="70D10C60" w14:textId="714ADF79" w:rsidR="001A0AAE" w:rsidRDefault="001A0AAE" w:rsidP="001A0AAE">
            <w:pPr>
              <w:pStyle w:val="TableParagraph"/>
              <w:ind w:right="248"/>
            </w:pPr>
            <w:r>
              <w:t xml:space="preserve">(v) ensure that there is safety training available, and that it meets acceptable </w:t>
            </w:r>
            <w:proofErr w:type="gramStart"/>
            <w:r>
              <w:t>standards;</w:t>
            </w:r>
            <w:proofErr w:type="gramEnd"/>
          </w:p>
          <w:p w14:paraId="16110279" w14:textId="77777777" w:rsidR="00B167AB" w:rsidRDefault="00B167AB" w:rsidP="001A0AAE">
            <w:pPr>
              <w:pStyle w:val="TableParagraph"/>
              <w:ind w:right="248"/>
            </w:pPr>
          </w:p>
          <w:p w14:paraId="6C49FE63" w14:textId="27ED3355" w:rsidR="00B167AB" w:rsidRPr="00637893" w:rsidRDefault="00637893" w:rsidP="001A0AAE">
            <w:pPr>
              <w:pStyle w:val="TableParagraph"/>
              <w:ind w:right="248"/>
              <w:rPr>
                <w:i/>
                <w:iCs/>
              </w:rPr>
            </w:pPr>
            <w:r w:rsidRPr="00637893">
              <w:rPr>
                <w:i/>
                <w:iCs/>
                <w:highlight w:val="cyan"/>
              </w:rPr>
              <w:t xml:space="preserve">Audit Check Point – What Safety Training is available for new employees – how is it managed and </w:t>
            </w:r>
            <w:proofErr w:type="gramStart"/>
            <w:r w:rsidRPr="00637893">
              <w:rPr>
                <w:i/>
                <w:iCs/>
                <w:highlight w:val="cyan"/>
              </w:rPr>
              <w:t>evidenced</w:t>
            </w:r>
            <w:proofErr w:type="gramEnd"/>
          </w:p>
          <w:p w14:paraId="3A4E2083" w14:textId="77777777" w:rsidR="00B167AB" w:rsidRDefault="00B167AB" w:rsidP="001A0AAE">
            <w:pPr>
              <w:pStyle w:val="TableParagraph"/>
              <w:ind w:right="248"/>
            </w:pPr>
          </w:p>
          <w:p w14:paraId="1D179D27" w14:textId="77777777" w:rsidR="00B167AB" w:rsidRDefault="00B167AB" w:rsidP="001A0AAE">
            <w:pPr>
              <w:pStyle w:val="TableParagraph"/>
              <w:ind w:right="248"/>
            </w:pPr>
          </w:p>
          <w:p w14:paraId="1ED4A3A8" w14:textId="2CFD688C" w:rsidR="001A0AAE" w:rsidRDefault="001A0AAE" w:rsidP="001A0AAE">
            <w:pPr>
              <w:pStyle w:val="TableParagraph"/>
              <w:ind w:right="248"/>
            </w:pPr>
            <w:r>
              <w:t>(vi) provide advice on safety matters; and</w:t>
            </w:r>
          </w:p>
          <w:p w14:paraId="52FB9D13" w14:textId="77777777" w:rsidR="001A0AAE" w:rsidRDefault="001A0AAE" w:rsidP="001A0AAE">
            <w:pPr>
              <w:pStyle w:val="TableParagraph"/>
              <w:ind w:right="248"/>
            </w:pPr>
          </w:p>
          <w:p w14:paraId="5E972358" w14:textId="791919B1" w:rsidR="001A0AAE" w:rsidRDefault="001A0AAE" w:rsidP="001A0AAE">
            <w:pPr>
              <w:pStyle w:val="TableParagraph"/>
              <w:ind w:right="248"/>
            </w:pPr>
            <w:r>
              <w:t>(vii) ensure the initiation and follow-up of internal occurrence investigations.</w:t>
            </w:r>
          </w:p>
          <w:p w14:paraId="553591DD" w14:textId="77777777" w:rsidR="001A0AAE" w:rsidRDefault="001A0AAE" w:rsidP="001A0AAE">
            <w:pPr>
              <w:pStyle w:val="TableParagraph"/>
              <w:ind w:right="248"/>
            </w:pPr>
          </w:p>
          <w:p w14:paraId="4A4456AB" w14:textId="6376E217" w:rsidR="001A0AAE" w:rsidRDefault="001A0AAE" w:rsidP="001A0AAE">
            <w:pPr>
              <w:pStyle w:val="TableParagraph"/>
              <w:ind w:right="248"/>
            </w:pPr>
            <w:r>
              <w:t xml:space="preserve">(b) the accountable manager should identify the person who acts as the unique focal point, </w:t>
            </w:r>
            <w:proofErr w:type="gramStart"/>
            <w:r>
              <w:t>i.e.</w:t>
            </w:r>
            <w:proofErr w:type="gramEnd"/>
            <w:r>
              <w:t xml:space="preserve"> the ‘compliance monitoring manager’.</w:t>
            </w:r>
          </w:p>
          <w:p w14:paraId="37F54C4B" w14:textId="77777777" w:rsidR="00547F88" w:rsidRDefault="00547F88" w:rsidP="001A0AAE">
            <w:pPr>
              <w:pStyle w:val="TableParagraph"/>
              <w:ind w:right="248"/>
            </w:pPr>
          </w:p>
          <w:p w14:paraId="3ABDC12D" w14:textId="77777777" w:rsidR="001A0AAE" w:rsidRPr="00547F88" w:rsidRDefault="001A0AAE" w:rsidP="001A0AAE">
            <w:pPr>
              <w:pStyle w:val="TableParagraph"/>
              <w:ind w:right="248"/>
              <w:rPr>
                <w:b/>
                <w:bCs/>
              </w:rPr>
            </w:pPr>
            <w:r w:rsidRPr="00547F88">
              <w:rPr>
                <w:b/>
                <w:bCs/>
              </w:rPr>
              <w:t>(</w:t>
            </w:r>
            <w:r w:rsidRPr="00637893">
              <w:rPr>
                <w:b/>
                <w:bCs/>
                <w:sz w:val="26"/>
                <w:szCs w:val="26"/>
              </w:rPr>
              <w:t>1) The role of the compliance monitoring manager should be to ensure that:</w:t>
            </w:r>
          </w:p>
          <w:p w14:paraId="3FE427B6" w14:textId="77777777" w:rsidR="00547F88" w:rsidRDefault="00547F88" w:rsidP="001A0AAE">
            <w:pPr>
              <w:pStyle w:val="TableParagraph"/>
              <w:ind w:right="248"/>
            </w:pPr>
          </w:p>
          <w:p w14:paraId="1CA8BA22" w14:textId="77777777" w:rsidR="001A0AAE" w:rsidRDefault="001A0AAE" w:rsidP="001A0AAE">
            <w:pPr>
              <w:pStyle w:val="TableParagraph"/>
              <w:ind w:right="248"/>
            </w:pPr>
            <w:r>
              <w:t>(</w:t>
            </w:r>
            <w:proofErr w:type="spellStart"/>
            <w:r>
              <w:t>i</w:t>
            </w:r>
            <w:proofErr w:type="spellEnd"/>
            <w:r>
              <w:t>) the activities of the organisation are monitored for compliance with the applicable requirements and any additional requirements as established by the organisation, and that these activities are carried out properly under the supervision of the nominated persons referred to in points (b), (c) and (ca) of point 145.A.</w:t>
            </w:r>
            <w:proofErr w:type="gramStart"/>
            <w:r>
              <w:t>30;</w:t>
            </w:r>
            <w:proofErr w:type="gramEnd"/>
          </w:p>
          <w:p w14:paraId="21DF0415" w14:textId="77777777" w:rsidR="00547F88" w:rsidRDefault="00547F88" w:rsidP="001A0AAE">
            <w:pPr>
              <w:pStyle w:val="TableParagraph"/>
              <w:ind w:right="248"/>
            </w:pPr>
          </w:p>
          <w:p w14:paraId="0FF97B94" w14:textId="77777777" w:rsidR="001A0AAE" w:rsidRDefault="001A0AAE" w:rsidP="001A0AAE">
            <w:pPr>
              <w:pStyle w:val="TableParagraph"/>
              <w:ind w:right="248"/>
            </w:pPr>
            <w:r>
              <w:t xml:space="preserve">(ii) any maintenance contracted to another maintenance organisation is monitored for compliance with the contract or work </w:t>
            </w:r>
            <w:proofErr w:type="gramStart"/>
            <w:r>
              <w:t>order;</w:t>
            </w:r>
            <w:proofErr w:type="gramEnd"/>
          </w:p>
          <w:p w14:paraId="070514BB" w14:textId="77777777" w:rsidR="00547F88" w:rsidRDefault="00547F88" w:rsidP="001A0AAE">
            <w:pPr>
              <w:pStyle w:val="TableParagraph"/>
              <w:ind w:right="248"/>
            </w:pPr>
          </w:p>
          <w:p w14:paraId="71068C58" w14:textId="03AC60AA" w:rsidR="001A0AAE" w:rsidRDefault="001A0AAE" w:rsidP="001A0AAE">
            <w:pPr>
              <w:pStyle w:val="TableParagraph"/>
              <w:ind w:right="248"/>
            </w:pPr>
            <w:r>
              <w:t>(iii) an audit plan is properly implemented, maintained, and continually reviewed and improved; and</w:t>
            </w:r>
          </w:p>
          <w:p w14:paraId="3F5AAA0A" w14:textId="77777777" w:rsidR="00637893" w:rsidRDefault="00637893" w:rsidP="001A0AAE">
            <w:pPr>
              <w:pStyle w:val="TableParagraph"/>
              <w:ind w:right="248"/>
            </w:pPr>
          </w:p>
          <w:p w14:paraId="15BDF14D" w14:textId="53F5F59B" w:rsidR="00637893" w:rsidRPr="00637893" w:rsidRDefault="00637893" w:rsidP="001A0AAE">
            <w:pPr>
              <w:pStyle w:val="TableParagraph"/>
              <w:ind w:right="248"/>
              <w:rPr>
                <w:i/>
                <w:iCs/>
              </w:rPr>
            </w:pPr>
            <w:r w:rsidRPr="00637893">
              <w:rPr>
                <w:i/>
                <w:iCs/>
                <w:highlight w:val="cyan"/>
              </w:rPr>
              <w:t xml:space="preserve">Audit Check Point – how is the Audit Plan managed – what is the periodicity of the review </w:t>
            </w:r>
            <w:proofErr w:type="gramStart"/>
            <w:r w:rsidRPr="00637893">
              <w:rPr>
                <w:i/>
                <w:iCs/>
                <w:highlight w:val="cyan"/>
              </w:rPr>
              <w:t>process</w:t>
            </w:r>
            <w:proofErr w:type="gramEnd"/>
          </w:p>
          <w:p w14:paraId="32D69A0D" w14:textId="77777777" w:rsidR="00547F88" w:rsidRDefault="00547F88" w:rsidP="001A0AAE">
            <w:pPr>
              <w:pStyle w:val="TableParagraph"/>
              <w:ind w:right="248"/>
            </w:pPr>
          </w:p>
          <w:p w14:paraId="2342F2EC" w14:textId="68F8FB89" w:rsidR="001A0AAE" w:rsidRDefault="001A0AAE" w:rsidP="001A0AAE">
            <w:pPr>
              <w:pStyle w:val="TableParagraph"/>
              <w:ind w:right="248"/>
            </w:pPr>
            <w:r>
              <w:t>(iv) corrections and corrective actions are requested as necessary.</w:t>
            </w:r>
          </w:p>
          <w:p w14:paraId="601B6195" w14:textId="77777777" w:rsidR="00547F88" w:rsidRDefault="00547F88" w:rsidP="001A0AAE">
            <w:pPr>
              <w:pStyle w:val="TableParagraph"/>
              <w:ind w:right="248"/>
            </w:pPr>
          </w:p>
          <w:p w14:paraId="5A6E1163" w14:textId="77777777" w:rsidR="001A0AAE" w:rsidRDefault="001A0AAE" w:rsidP="001A0AAE">
            <w:pPr>
              <w:pStyle w:val="TableParagraph"/>
              <w:ind w:right="248"/>
              <w:rPr>
                <w:b/>
                <w:bCs/>
              </w:rPr>
            </w:pPr>
            <w:r w:rsidRPr="00547F88">
              <w:rPr>
                <w:b/>
                <w:bCs/>
              </w:rPr>
              <w:lastRenderedPageBreak/>
              <w:t>(2) The compliance monitoring manager should:</w:t>
            </w:r>
          </w:p>
          <w:p w14:paraId="3A5C026C" w14:textId="77777777" w:rsidR="00547F88" w:rsidRPr="00547F88" w:rsidRDefault="00547F88" w:rsidP="001A0AAE">
            <w:pPr>
              <w:pStyle w:val="TableParagraph"/>
              <w:ind w:right="248"/>
              <w:rPr>
                <w:b/>
                <w:bCs/>
              </w:rPr>
            </w:pPr>
          </w:p>
          <w:p w14:paraId="4B9DF202" w14:textId="77777777" w:rsidR="001A0AAE" w:rsidRDefault="001A0AAE" w:rsidP="001A0AAE">
            <w:pPr>
              <w:pStyle w:val="TableParagraph"/>
              <w:ind w:right="248"/>
            </w:pPr>
            <w:r>
              <w:t>(</w:t>
            </w:r>
            <w:proofErr w:type="spellStart"/>
            <w:r>
              <w:t>i</w:t>
            </w:r>
            <w:proofErr w:type="spellEnd"/>
            <w:r>
              <w:t>) not be one of the persons referred to in point 145.A.30(b</w:t>
            </w:r>
            <w:proofErr w:type="gramStart"/>
            <w:r>
              <w:t>);</w:t>
            </w:r>
            <w:proofErr w:type="gramEnd"/>
          </w:p>
          <w:p w14:paraId="00D4CB26" w14:textId="77777777" w:rsidR="00547F88" w:rsidRDefault="00547F88" w:rsidP="001A0AAE">
            <w:pPr>
              <w:pStyle w:val="TableParagraph"/>
              <w:ind w:right="248"/>
            </w:pPr>
          </w:p>
          <w:p w14:paraId="055A17EA" w14:textId="77777777" w:rsidR="001A0AAE" w:rsidRDefault="001A0AAE" w:rsidP="001A0AAE">
            <w:pPr>
              <w:pStyle w:val="TableParagraph"/>
              <w:ind w:right="248"/>
            </w:pPr>
            <w:r>
              <w:t>(ii) be able to demonstrate relevant knowledge, background and appropriate experience related to the activities of the organisation, including knowledge and experience in compliance monitoring; and</w:t>
            </w:r>
          </w:p>
          <w:p w14:paraId="6C540FAC" w14:textId="77777777" w:rsidR="001A0AAE" w:rsidRDefault="001A0AAE" w:rsidP="001A0AAE">
            <w:pPr>
              <w:pStyle w:val="TableParagraph"/>
              <w:ind w:right="248"/>
            </w:pPr>
            <w:r>
              <w:t>(iii) have access to all parts of the organisation, and as necessary, any subcontracted organisation.</w:t>
            </w:r>
          </w:p>
          <w:p w14:paraId="615AB3F7" w14:textId="77777777" w:rsidR="00547F88" w:rsidRDefault="00547F88" w:rsidP="001A0AAE">
            <w:pPr>
              <w:pStyle w:val="TableParagraph"/>
              <w:ind w:right="248"/>
            </w:pPr>
          </w:p>
          <w:p w14:paraId="5A98D69A" w14:textId="77777777" w:rsidR="00547F88" w:rsidRDefault="001A0AAE" w:rsidP="001A0AAE">
            <w:pPr>
              <w:pStyle w:val="TableParagraph"/>
              <w:ind w:right="248"/>
            </w:pPr>
            <w:r>
              <w:t xml:space="preserve">(c) If the functions related to compliance monitoring or safety management are combined with other duties, the organisation should ensure that this does not result in any conflicts of interest. In particular, </w:t>
            </w:r>
          </w:p>
          <w:p w14:paraId="6E920D9F" w14:textId="77777777" w:rsidR="00547F88" w:rsidRDefault="00547F88" w:rsidP="001A0AAE">
            <w:pPr>
              <w:pStyle w:val="TableParagraph"/>
              <w:ind w:right="248"/>
            </w:pPr>
          </w:p>
          <w:p w14:paraId="41F6A1D8" w14:textId="77777777" w:rsidR="00547F88" w:rsidRDefault="00547F88" w:rsidP="001A0AAE">
            <w:pPr>
              <w:pStyle w:val="TableParagraph"/>
              <w:ind w:right="248"/>
            </w:pPr>
          </w:p>
          <w:p w14:paraId="6FEA2501" w14:textId="742170F0" w:rsidR="001A0AAE" w:rsidRDefault="001A0AAE" w:rsidP="00547F88">
            <w:pPr>
              <w:pStyle w:val="TableParagraph"/>
              <w:ind w:right="248"/>
              <w:jc w:val="center"/>
              <w:rPr>
                <w:b/>
                <w:bCs/>
              </w:rPr>
            </w:pPr>
            <w:proofErr w:type="gramStart"/>
            <w:r w:rsidRPr="00547F88">
              <w:rPr>
                <w:b/>
                <w:bCs/>
                <w:highlight w:val="yellow"/>
              </w:rPr>
              <w:t>the</w:t>
            </w:r>
            <w:proofErr w:type="gramEnd"/>
            <w:r w:rsidRPr="00547F88">
              <w:rPr>
                <w:b/>
                <w:bCs/>
                <w:highlight w:val="yellow"/>
              </w:rPr>
              <w:t xml:space="preserve"> compliance monitoring function should be independent from the maintenance functions.</w:t>
            </w:r>
          </w:p>
          <w:p w14:paraId="3157125A" w14:textId="77777777" w:rsidR="00547F88" w:rsidRPr="00547F88" w:rsidRDefault="00547F88" w:rsidP="00547F88">
            <w:pPr>
              <w:pStyle w:val="TableParagraph"/>
              <w:ind w:right="248"/>
              <w:jc w:val="center"/>
              <w:rPr>
                <w:b/>
                <w:bCs/>
              </w:rPr>
            </w:pPr>
          </w:p>
          <w:p w14:paraId="049A8A62" w14:textId="7A1BB6E7" w:rsidR="001A0AAE" w:rsidRDefault="001A0AAE" w:rsidP="001A0AAE">
            <w:pPr>
              <w:pStyle w:val="TableParagraph"/>
              <w:ind w:right="248"/>
            </w:pPr>
            <w:r>
              <w:t xml:space="preserve">(d) If the same person is designated to manage both the compliance monitoring function and safety management-related processes and tasks, the accountable manager, </w:t>
            </w:r>
            <w:proofErr w:type="gramStart"/>
            <w:r>
              <w:t>with regard to</w:t>
            </w:r>
            <w:proofErr w:type="gramEnd"/>
            <w:r>
              <w:t xml:space="preserve"> his or her direct accountability for safety, should ensure that sufficient resources</w:t>
            </w:r>
            <w:r w:rsidR="00A7480B">
              <w:t>.</w:t>
            </w:r>
          </w:p>
          <w:p w14:paraId="0AB1F63E" w14:textId="77777777" w:rsidR="0032648D" w:rsidRDefault="0032648D" w:rsidP="001A0AAE">
            <w:pPr>
              <w:pStyle w:val="TableParagraph"/>
              <w:ind w:right="248"/>
            </w:pPr>
          </w:p>
          <w:p w14:paraId="4724FFAA" w14:textId="726B6A77" w:rsidR="009E23AC" w:rsidRPr="00637893" w:rsidRDefault="009E23AC">
            <w:pPr>
              <w:pStyle w:val="TableParagraph"/>
              <w:ind w:right="248"/>
              <w:rPr>
                <w:b/>
                <w:bCs/>
              </w:rPr>
            </w:pPr>
            <w:r w:rsidRPr="00637893">
              <w:rPr>
                <w:b/>
                <w:bCs/>
              </w:rPr>
              <w:t xml:space="preserve">Safety review board </w:t>
            </w:r>
          </w:p>
          <w:p w14:paraId="65F19776" w14:textId="77777777" w:rsidR="00A7480B" w:rsidRDefault="00A7480B">
            <w:pPr>
              <w:pStyle w:val="TableParagraph"/>
              <w:ind w:right="248"/>
            </w:pPr>
          </w:p>
          <w:p w14:paraId="160FF8FD" w14:textId="77777777" w:rsidR="009E23AC" w:rsidRDefault="009E23AC">
            <w:pPr>
              <w:pStyle w:val="TableParagraph"/>
              <w:ind w:right="248"/>
            </w:pPr>
            <w:r>
              <w:t xml:space="preserve">(1) The safety review board should be a high-level committee that considers matters of strategic safety in support of the accountable manager’s safety accountability. </w:t>
            </w:r>
          </w:p>
          <w:p w14:paraId="5DEC0757" w14:textId="77777777" w:rsidR="00A7480B" w:rsidRDefault="00A7480B">
            <w:pPr>
              <w:pStyle w:val="TableParagraph"/>
              <w:ind w:right="248"/>
            </w:pPr>
          </w:p>
          <w:p w14:paraId="26FDCB27" w14:textId="77777777" w:rsidR="009E23AC" w:rsidRDefault="009E23AC">
            <w:pPr>
              <w:pStyle w:val="TableParagraph"/>
              <w:ind w:right="248"/>
            </w:pPr>
            <w:r>
              <w:t xml:space="preserve">(2) The board should be chaired by the accountable manager and composed of the person or group of persons nominated under points 145.A.30. </w:t>
            </w:r>
          </w:p>
          <w:p w14:paraId="0DC2269E" w14:textId="77777777" w:rsidR="00A7480B" w:rsidRDefault="00A7480B">
            <w:pPr>
              <w:pStyle w:val="TableParagraph"/>
              <w:ind w:right="248"/>
            </w:pPr>
          </w:p>
          <w:p w14:paraId="47A2D44D" w14:textId="77777777" w:rsidR="00A7480B" w:rsidRDefault="009E23AC" w:rsidP="00A7480B">
            <w:pPr>
              <w:pStyle w:val="TableParagraph"/>
              <w:ind w:right="248"/>
            </w:pPr>
            <w:r>
              <w:t xml:space="preserve">(3) The safety review board should monitor: </w:t>
            </w:r>
          </w:p>
          <w:p w14:paraId="34B175BE" w14:textId="77777777" w:rsidR="00A7480B" w:rsidRDefault="00A7480B" w:rsidP="00A7480B">
            <w:pPr>
              <w:pStyle w:val="TableParagraph"/>
              <w:ind w:right="248"/>
            </w:pPr>
          </w:p>
          <w:p w14:paraId="25874C82" w14:textId="24729705" w:rsidR="009E23AC" w:rsidRDefault="009E23AC" w:rsidP="00A7480B">
            <w:pPr>
              <w:pStyle w:val="TableParagraph"/>
              <w:numPr>
                <w:ilvl w:val="0"/>
                <w:numId w:val="26"/>
              </w:numPr>
              <w:ind w:right="248"/>
            </w:pPr>
            <w:r>
              <w:t xml:space="preserve">the safety performance against the safety policy and </w:t>
            </w:r>
            <w:proofErr w:type="gramStart"/>
            <w:r>
              <w:t>objectives;</w:t>
            </w:r>
            <w:proofErr w:type="gramEnd"/>
            <w:r>
              <w:t xml:space="preserve"> </w:t>
            </w:r>
          </w:p>
          <w:p w14:paraId="4DD78C79" w14:textId="286F63B7" w:rsidR="009E23AC" w:rsidRDefault="009E23AC" w:rsidP="00A7480B">
            <w:pPr>
              <w:pStyle w:val="TableParagraph"/>
              <w:numPr>
                <w:ilvl w:val="0"/>
                <w:numId w:val="26"/>
              </w:numPr>
              <w:ind w:right="248"/>
            </w:pPr>
            <w:r>
              <w:t xml:space="preserve">that any safety action is taken in a timely manner; and </w:t>
            </w:r>
          </w:p>
          <w:p w14:paraId="42CEC437" w14:textId="545137A0" w:rsidR="009E23AC" w:rsidRDefault="009E23AC" w:rsidP="00A7480B">
            <w:pPr>
              <w:pStyle w:val="TableParagraph"/>
              <w:numPr>
                <w:ilvl w:val="0"/>
                <w:numId w:val="26"/>
              </w:numPr>
              <w:ind w:right="248"/>
            </w:pPr>
            <w:r>
              <w:t xml:space="preserve">the effectiveness of the organisation’s management system processes. </w:t>
            </w:r>
          </w:p>
          <w:p w14:paraId="46ED8FA8" w14:textId="77777777" w:rsidR="00A7480B" w:rsidRDefault="00A7480B" w:rsidP="00A7480B">
            <w:pPr>
              <w:pStyle w:val="TableParagraph"/>
              <w:ind w:right="248"/>
            </w:pPr>
          </w:p>
          <w:p w14:paraId="14E654AF" w14:textId="77777777" w:rsidR="009E23AC" w:rsidRDefault="009E23AC" w:rsidP="009E23AC">
            <w:pPr>
              <w:pStyle w:val="TableParagraph"/>
              <w:ind w:left="0" w:right="248"/>
            </w:pPr>
            <w:r>
              <w:t xml:space="preserve"> (4) The safety review board may also be tasked with: </w:t>
            </w:r>
          </w:p>
          <w:p w14:paraId="48C176B8" w14:textId="77777777" w:rsidR="00A7480B" w:rsidRDefault="00A7480B" w:rsidP="009E23AC">
            <w:pPr>
              <w:pStyle w:val="TableParagraph"/>
              <w:ind w:left="0" w:right="248"/>
            </w:pPr>
          </w:p>
          <w:p w14:paraId="6108E836" w14:textId="77777777" w:rsidR="009E23AC" w:rsidRDefault="009E23AC" w:rsidP="009E23AC">
            <w:pPr>
              <w:pStyle w:val="TableParagraph"/>
              <w:ind w:left="0" w:right="248"/>
            </w:pPr>
            <w:r>
              <w:t>(</w:t>
            </w:r>
            <w:proofErr w:type="spellStart"/>
            <w:r>
              <w:t>i</w:t>
            </w:r>
            <w:proofErr w:type="spellEnd"/>
            <w:r>
              <w:t xml:space="preserve">) reviewing the results of compliance </w:t>
            </w:r>
            <w:proofErr w:type="gramStart"/>
            <w:r>
              <w:lastRenderedPageBreak/>
              <w:t>monitoring;</w:t>
            </w:r>
            <w:proofErr w:type="gramEnd"/>
            <w:r>
              <w:t xml:space="preserve"> </w:t>
            </w:r>
          </w:p>
          <w:p w14:paraId="7A01094A" w14:textId="77777777" w:rsidR="00A7480B" w:rsidRDefault="00A7480B" w:rsidP="009E23AC">
            <w:pPr>
              <w:pStyle w:val="TableParagraph"/>
              <w:ind w:left="0" w:right="248"/>
            </w:pPr>
          </w:p>
          <w:p w14:paraId="6AD9D740" w14:textId="40F45F83" w:rsidR="00C518C8" w:rsidRDefault="009E23AC" w:rsidP="009E23AC">
            <w:pPr>
              <w:pStyle w:val="TableParagraph"/>
              <w:ind w:left="0" w:right="248"/>
            </w:pPr>
            <w:r>
              <w:t>(ii) monitoring the implementation of related corrective and preventive actions.</w:t>
            </w:r>
          </w:p>
          <w:p w14:paraId="696BB88B" w14:textId="77777777" w:rsidR="009E23AC" w:rsidRDefault="009E23AC" w:rsidP="009E23AC">
            <w:pPr>
              <w:pStyle w:val="TableParagraph"/>
              <w:ind w:left="0" w:right="248"/>
            </w:pPr>
          </w:p>
          <w:p w14:paraId="2DEC32CF" w14:textId="77777777" w:rsidR="009E23AC" w:rsidRDefault="009E23AC" w:rsidP="009E23AC">
            <w:pPr>
              <w:pStyle w:val="TableParagraph"/>
              <w:ind w:left="0" w:right="248"/>
            </w:pPr>
            <w:r>
              <w:t xml:space="preserve">(c) The safety review board should ensure that appropriate resources are allocated to achieve the established safety objectives. </w:t>
            </w:r>
          </w:p>
          <w:p w14:paraId="379B7727" w14:textId="77777777" w:rsidR="009E23AC" w:rsidRDefault="009E23AC" w:rsidP="009E23AC">
            <w:pPr>
              <w:pStyle w:val="TableParagraph"/>
              <w:ind w:left="0" w:right="248"/>
            </w:pPr>
          </w:p>
          <w:p w14:paraId="401FEABF" w14:textId="77A59245" w:rsidR="00637893" w:rsidRDefault="00637893" w:rsidP="009E23AC">
            <w:pPr>
              <w:pStyle w:val="TableParagraph"/>
              <w:ind w:left="0" w:right="248"/>
              <w:rPr>
                <w:b/>
                <w:bCs/>
                <w:highlight w:val="yellow"/>
              </w:rPr>
            </w:pPr>
            <w:r>
              <w:rPr>
                <w:b/>
                <w:bCs/>
                <w:highlight w:val="yellow"/>
              </w:rPr>
              <w:t>Small Organisations SRB Alleviation</w:t>
            </w:r>
          </w:p>
          <w:p w14:paraId="20D60745" w14:textId="77777777" w:rsidR="00637893" w:rsidRDefault="00637893" w:rsidP="009E23AC">
            <w:pPr>
              <w:pStyle w:val="TableParagraph"/>
              <w:ind w:left="0" w:right="248"/>
              <w:rPr>
                <w:b/>
                <w:bCs/>
                <w:highlight w:val="yellow"/>
              </w:rPr>
            </w:pPr>
          </w:p>
          <w:p w14:paraId="0D4B6065" w14:textId="1DE04767" w:rsidR="001B792B" w:rsidRPr="001B792B" w:rsidRDefault="001B792B" w:rsidP="009E23AC">
            <w:pPr>
              <w:pStyle w:val="TableParagraph"/>
              <w:ind w:left="0" w:right="248"/>
              <w:rPr>
                <w:b/>
                <w:bCs/>
              </w:rPr>
            </w:pPr>
            <w:r w:rsidRPr="001B792B">
              <w:rPr>
                <w:b/>
                <w:bCs/>
                <w:highlight w:val="yellow"/>
              </w:rPr>
              <w:t xml:space="preserve">NOTE Concerning the SRB responsibility being assumed by the </w:t>
            </w:r>
            <w:proofErr w:type="gramStart"/>
            <w:r w:rsidRPr="001B792B">
              <w:rPr>
                <w:b/>
                <w:bCs/>
                <w:highlight w:val="yellow"/>
              </w:rPr>
              <w:t>SM</w:t>
            </w:r>
            <w:proofErr w:type="gramEnd"/>
            <w:r w:rsidRPr="001B792B">
              <w:rPr>
                <w:b/>
                <w:bCs/>
              </w:rPr>
              <w:t xml:space="preserve"> </w:t>
            </w:r>
          </w:p>
          <w:p w14:paraId="6CAB401C" w14:textId="77777777" w:rsidR="001B792B" w:rsidRDefault="001B792B" w:rsidP="009E23AC">
            <w:pPr>
              <w:pStyle w:val="TableParagraph"/>
              <w:ind w:left="0" w:right="248"/>
            </w:pPr>
          </w:p>
          <w:p w14:paraId="71C1A54A" w14:textId="4BD03343" w:rsidR="009E23AC" w:rsidRDefault="009E23AC" w:rsidP="009E23AC">
            <w:pPr>
              <w:pStyle w:val="TableParagraph"/>
              <w:ind w:left="0" w:right="248"/>
            </w:pPr>
            <w:r>
              <w:t>(d) Notwithstanding point (a), where justified by the size of the organisation and the nature and complexity of its activities and subject to a risk assessment and agreement by the competent authority, the organisation may not need to establish a formal safety review board. In this case, the tasks normally allocated to the safety review board should be allocated to the safety manager.</w:t>
            </w:r>
          </w:p>
          <w:p w14:paraId="7D1AB61D" w14:textId="5965F601" w:rsidR="009E23AC" w:rsidRDefault="009E23AC" w:rsidP="009E23AC">
            <w:pPr>
              <w:pStyle w:val="TableParagraph"/>
              <w:ind w:left="0" w:right="248"/>
              <w:rPr>
                <w:sz w:val="24"/>
              </w:rPr>
            </w:pPr>
          </w:p>
        </w:tc>
        <w:tc>
          <w:tcPr>
            <w:tcW w:w="4203" w:type="dxa"/>
          </w:tcPr>
          <w:p w14:paraId="04C96AE7" w14:textId="77777777" w:rsidR="00C518C8" w:rsidRDefault="00C518C8">
            <w:pPr>
              <w:pStyle w:val="TableParagraph"/>
              <w:ind w:left="0"/>
              <w:rPr>
                <w:rFonts w:ascii="Times New Roman"/>
                <w:sz w:val="24"/>
              </w:rPr>
            </w:pPr>
          </w:p>
        </w:tc>
      </w:tr>
      <w:tr w:rsidR="00C518C8" w14:paraId="71C79B05" w14:textId="77777777">
        <w:trPr>
          <w:trHeight w:val="1379"/>
        </w:trPr>
        <w:tc>
          <w:tcPr>
            <w:tcW w:w="4815" w:type="dxa"/>
          </w:tcPr>
          <w:p w14:paraId="324707EE" w14:textId="77777777" w:rsidR="009E23AC" w:rsidRDefault="009E23AC">
            <w:pPr>
              <w:pStyle w:val="TableParagraph"/>
              <w:ind w:right="248"/>
            </w:pPr>
            <w:r w:rsidRPr="009E23AC">
              <w:rPr>
                <w:b/>
                <w:bCs/>
              </w:rPr>
              <w:lastRenderedPageBreak/>
              <w:t>GM1 145.A.200(a)(1) Management system</w:t>
            </w:r>
            <w:r>
              <w:t xml:space="preserve"> ED Decision 2022/011/R </w:t>
            </w:r>
          </w:p>
          <w:p w14:paraId="4F712EFA" w14:textId="77777777" w:rsidR="009E23AC" w:rsidRDefault="009E23AC">
            <w:pPr>
              <w:pStyle w:val="TableParagraph"/>
              <w:ind w:right="248"/>
            </w:pPr>
          </w:p>
          <w:p w14:paraId="343A5D6A" w14:textId="77777777" w:rsidR="009E23AC" w:rsidRDefault="009E23AC">
            <w:pPr>
              <w:pStyle w:val="TableParagraph"/>
              <w:ind w:right="248"/>
            </w:pPr>
            <w:r>
              <w:t xml:space="preserve">SAFETY ACTION GROUP </w:t>
            </w:r>
          </w:p>
          <w:p w14:paraId="318754AE" w14:textId="77777777" w:rsidR="009E23AC" w:rsidRDefault="009E23AC">
            <w:pPr>
              <w:pStyle w:val="TableParagraph"/>
              <w:ind w:right="248"/>
            </w:pPr>
          </w:p>
          <w:p w14:paraId="378352F2" w14:textId="223AC87B" w:rsidR="009E23AC" w:rsidRDefault="009E23AC">
            <w:pPr>
              <w:pStyle w:val="TableParagraph"/>
              <w:ind w:right="248"/>
            </w:pPr>
            <w:r>
              <w:t xml:space="preserve">(a) Depending on the size of the organisation a safety action group may be established to assist, or act on behalf of the safety manager or the safety review board. </w:t>
            </w:r>
          </w:p>
          <w:p w14:paraId="7F8CD66B" w14:textId="77777777" w:rsidR="009E23AC" w:rsidRDefault="009E23AC">
            <w:pPr>
              <w:pStyle w:val="TableParagraph"/>
              <w:ind w:right="248"/>
            </w:pPr>
          </w:p>
          <w:p w14:paraId="0BFD073E" w14:textId="75B00F8A" w:rsidR="009E23AC" w:rsidRDefault="009E23AC">
            <w:pPr>
              <w:pStyle w:val="TableParagraph"/>
              <w:ind w:right="248"/>
            </w:pPr>
            <w:r>
              <w:t>(b) More than one safety action group may be established</w:t>
            </w:r>
            <w:r w:rsidR="00637893">
              <w:t>.</w:t>
            </w:r>
          </w:p>
          <w:p w14:paraId="05200793" w14:textId="77777777" w:rsidR="00637893" w:rsidRDefault="00637893">
            <w:pPr>
              <w:pStyle w:val="TableParagraph"/>
              <w:ind w:right="248"/>
            </w:pPr>
          </w:p>
          <w:p w14:paraId="254EC54A" w14:textId="77777777" w:rsidR="009E23AC" w:rsidRDefault="009E23AC">
            <w:pPr>
              <w:pStyle w:val="TableParagraph"/>
              <w:ind w:right="248"/>
            </w:pPr>
            <w:r>
              <w:t xml:space="preserve">(c) The safety action group usually reports to, and takes strategic direction from, the safety review board, and may be composed of managers, </w:t>
            </w:r>
            <w:proofErr w:type="gramStart"/>
            <w:r>
              <w:t>supervisors</w:t>
            </w:r>
            <w:proofErr w:type="gramEnd"/>
            <w:r>
              <w:t xml:space="preserve"> and personnel from operational areas. </w:t>
            </w:r>
          </w:p>
          <w:p w14:paraId="68BF81AF" w14:textId="77777777" w:rsidR="009E23AC" w:rsidRDefault="009E23AC">
            <w:pPr>
              <w:pStyle w:val="TableParagraph"/>
              <w:ind w:right="248"/>
            </w:pPr>
          </w:p>
          <w:p w14:paraId="2A824194" w14:textId="77777777" w:rsidR="009E23AC" w:rsidRDefault="009E23AC">
            <w:pPr>
              <w:pStyle w:val="TableParagraph"/>
              <w:ind w:right="248"/>
            </w:pPr>
            <w:r>
              <w:t xml:space="preserve">(d) The safety action group may be tasked or assist with: </w:t>
            </w:r>
          </w:p>
          <w:p w14:paraId="77F5509D" w14:textId="77777777" w:rsidR="00637893" w:rsidRDefault="00637893">
            <w:pPr>
              <w:pStyle w:val="TableParagraph"/>
              <w:ind w:right="248"/>
            </w:pPr>
          </w:p>
          <w:p w14:paraId="313E1619" w14:textId="77777777" w:rsidR="009E23AC" w:rsidRDefault="009E23AC">
            <w:pPr>
              <w:pStyle w:val="TableParagraph"/>
              <w:ind w:right="248"/>
            </w:pPr>
            <w:r>
              <w:t xml:space="preserve">(1) monitoring safety </w:t>
            </w:r>
            <w:proofErr w:type="gramStart"/>
            <w:r>
              <w:t>performance;</w:t>
            </w:r>
            <w:proofErr w:type="gramEnd"/>
            <w:r>
              <w:t xml:space="preserve"> </w:t>
            </w:r>
          </w:p>
          <w:p w14:paraId="5F8F4B37" w14:textId="77777777" w:rsidR="00637893" w:rsidRPr="00637893" w:rsidRDefault="00637893">
            <w:pPr>
              <w:pStyle w:val="TableParagraph"/>
              <w:ind w:right="248"/>
              <w:rPr>
                <w:sz w:val="10"/>
                <w:szCs w:val="10"/>
              </w:rPr>
            </w:pPr>
          </w:p>
          <w:p w14:paraId="4D12F7F4" w14:textId="77777777" w:rsidR="009E23AC" w:rsidRDefault="009E23AC">
            <w:pPr>
              <w:pStyle w:val="TableParagraph"/>
              <w:ind w:right="248"/>
            </w:pPr>
            <w:r>
              <w:t xml:space="preserve">(2) defining actions to control risks to an acceptable </w:t>
            </w:r>
            <w:proofErr w:type="gramStart"/>
            <w:r>
              <w:t>level;</w:t>
            </w:r>
            <w:proofErr w:type="gramEnd"/>
            <w:r>
              <w:t xml:space="preserve"> </w:t>
            </w:r>
          </w:p>
          <w:p w14:paraId="5CAD0A9A" w14:textId="77777777" w:rsidR="00637893" w:rsidRPr="00637893" w:rsidRDefault="00637893">
            <w:pPr>
              <w:pStyle w:val="TableParagraph"/>
              <w:ind w:right="248"/>
              <w:rPr>
                <w:sz w:val="10"/>
                <w:szCs w:val="10"/>
              </w:rPr>
            </w:pPr>
          </w:p>
          <w:p w14:paraId="20F37B80" w14:textId="77777777" w:rsidR="009E23AC" w:rsidRDefault="009E23AC">
            <w:pPr>
              <w:pStyle w:val="TableParagraph"/>
              <w:ind w:right="248"/>
            </w:pPr>
            <w:r>
              <w:t xml:space="preserve">(3) assessing the impact of organisational changes on </w:t>
            </w:r>
            <w:proofErr w:type="gramStart"/>
            <w:r>
              <w:t>safety;</w:t>
            </w:r>
            <w:proofErr w:type="gramEnd"/>
            <w:r>
              <w:t xml:space="preserve"> </w:t>
            </w:r>
          </w:p>
          <w:p w14:paraId="4A1D1BBB" w14:textId="77777777" w:rsidR="00637893" w:rsidRPr="00637893" w:rsidRDefault="00637893">
            <w:pPr>
              <w:pStyle w:val="TableParagraph"/>
              <w:ind w:right="248"/>
              <w:rPr>
                <w:sz w:val="10"/>
                <w:szCs w:val="10"/>
              </w:rPr>
            </w:pPr>
          </w:p>
          <w:p w14:paraId="5BBBC10D" w14:textId="77777777" w:rsidR="00637893" w:rsidRDefault="009E23AC">
            <w:pPr>
              <w:pStyle w:val="TableParagraph"/>
              <w:ind w:right="248"/>
            </w:pPr>
            <w:r>
              <w:t xml:space="preserve">(4) ensuring that safety actions are implemented within the agreed </w:t>
            </w:r>
            <w:proofErr w:type="gramStart"/>
            <w:r>
              <w:t>timescales;</w:t>
            </w:r>
            <w:proofErr w:type="gramEnd"/>
            <w:r>
              <w:t xml:space="preserve"> </w:t>
            </w:r>
          </w:p>
          <w:p w14:paraId="459DC061" w14:textId="77777777" w:rsidR="00637893" w:rsidRPr="00637893" w:rsidRDefault="00637893">
            <w:pPr>
              <w:pStyle w:val="TableParagraph"/>
              <w:ind w:right="248"/>
              <w:rPr>
                <w:sz w:val="10"/>
                <w:szCs w:val="10"/>
              </w:rPr>
            </w:pPr>
          </w:p>
          <w:p w14:paraId="1BF5E125" w14:textId="4CE9EFB5" w:rsidR="00C518C8" w:rsidRDefault="009E23AC">
            <w:pPr>
              <w:pStyle w:val="TableParagraph"/>
              <w:ind w:right="248"/>
            </w:pPr>
            <w:r>
              <w:t>(5) reviewing the effectiveness of previous safety actions and safety promotion.</w:t>
            </w:r>
          </w:p>
          <w:p w14:paraId="71BBADE6" w14:textId="6BBF3224" w:rsidR="009E23AC" w:rsidRDefault="009E23AC">
            <w:pPr>
              <w:pStyle w:val="TableParagraph"/>
              <w:ind w:right="248"/>
              <w:rPr>
                <w:sz w:val="24"/>
              </w:rPr>
            </w:pPr>
          </w:p>
        </w:tc>
        <w:tc>
          <w:tcPr>
            <w:tcW w:w="4203" w:type="dxa"/>
          </w:tcPr>
          <w:p w14:paraId="480B3A47" w14:textId="77777777" w:rsidR="00C518C8" w:rsidRDefault="00C518C8">
            <w:pPr>
              <w:pStyle w:val="TableParagraph"/>
              <w:ind w:left="0"/>
              <w:rPr>
                <w:rFonts w:ascii="Times New Roman"/>
                <w:sz w:val="24"/>
              </w:rPr>
            </w:pPr>
          </w:p>
        </w:tc>
      </w:tr>
      <w:tr w:rsidR="00C518C8" w14:paraId="0603402B" w14:textId="77777777">
        <w:trPr>
          <w:trHeight w:val="1379"/>
        </w:trPr>
        <w:tc>
          <w:tcPr>
            <w:tcW w:w="4815" w:type="dxa"/>
          </w:tcPr>
          <w:p w14:paraId="5F433B2C" w14:textId="77777777" w:rsidR="009E23AC" w:rsidRDefault="009E23AC">
            <w:pPr>
              <w:pStyle w:val="TableParagraph"/>
              <w:ind w:right="248"/>
            </w:pPr>
            <w:r w:rsidRPr="009E23AC">
              <w:rPr>
                <w:b/>
                <w:bCs/>
              </w:rPr>
              <w:lastRenderedPageBreak/>
              <w:t xml:space="preserve">GM2 145.A.200(a)(1) Management system </w:t>
            </w:r>
            <w:r>
              <w:t xml:space="preserve">ED Decision 2022/011/R </w:t>
            </w:r>
          </w:p>
          <w:p w14:paraId="0885CD2A" w14:textId="77777777" w:rsidR="00EC2DD9" w:rsidRDefault="00EC2DD9">
            <w:pPr>
              <w:pStyle w:val="TableParagraph"/>
              <w:ind w:right="248"/>
            </w:pPr>
          </w:p>
          <w:p w14:paraId="6724F853" w14:textId="487696D9" w:rsidR="00C518C8" w:rsidRDefault="009E23AC">
            <w:pPr>
              <w:pStyle w:val="TableParagraph"/>
              <w:ind w:right="248"/>
              <w:rPr>
                <w:sz w:val="24"/>
              </w:rPr>
            </w:pPr>
            <w:r>
              <w:t xml:space="preserve"> ‘accountability’ refers to an obligation which cannot be delegated, ‘responsibility’ refers to an obligation that can be delegated.</w:t>
            </w:r>
          </w:p>
        </w:tc>
        <w:tc>
          <w:tcPr>
            <w:tcW w:w="4203" w:type="dxa"/>
          </w:tcPr>
          <w:p w14:paraId="105773D4" w14:textId="77777777" w:rsidR="00C518C8" w:rsidRDefault="00C518C8">
            <w:pPr>
              <w:pStyle w:val="TableParagraph"/>
              <w:ind w:left="0"/>
              <w:rPr>
                <w:rFonts w:ascii="Times New Roman"/>
                <w:sz w:val="24"/>
              </w:rPr>
            </w:pPr>
          </w:p>
        </w:tc>
      </w:tr>
      <w:tr w:rsidR="00C518C8" w14:paraId="023A9ED1" w14:textId="77777777">
        <w:trPr>
          <w:trHeight w:val="1379"/>
        </w:trPr>
        <w:tc>
          <w:tcPr>
            <w:tcW w:w="4815" w:type="dxa"/>
          </w:tcPr>
          <w:p w14:paraId="39AF8F1D" w14:textId="77777777" w:rsidR="009E23AC" w:rsidRDefault="009E23AC">
            <w:pPr>
              <w:pStyle w:val="TableParagraph"/>
              <w:ind w:right="248"/>
            </w:pPr>
            <w:r>
              <w:t xml:space="preserve">AMC1 145.A.200(a)(2) Management system ED Decision 2022/011/R </w:t>
            </w:r>
          </w:p>
          <w:p w14:paraId="17A654BD" w14:textId="77777777" w:rsidR="009E23AC" w:rsidRPr="003A06A9" w:rsidRDefault="009E23AC">
            <w:pPr>
              <w:pStyle w:val="TableParagraph"/>
              <w:ind w:right="248"/>
              <w:rPr>
                <w:b/>
                <w:bCs/>
              </w:rPr>
            </w:pPr>
            <w:r w:rsidRPr="003A06A9">
              <w:rPr>
                <w:b/>
                <w:bCs/>
              </w:rPr>
              <w:t xml:space="preserve">SAFETY POLICY AND OBJECTIVES </w:t>
            </w:r>
          </w:p>
          <w:p w14:paraId="199BB0D6" w14:textId="77777777" w:rsidR="009E23AC" w:rsidRDefault="009E23AC">
            <w:pPr>
              <w:pStyle w:val="TableParagraph"/>
              <w:ind w:right="248"/>
            </w:pPr>
          </w:p>
          <w:p w14:paraId="4DB1E43C" w14:textId="77777777" w:rsidR="003A06A9" w:rsidRDefault="009E23AC">
            <w:pPr>
              <w:pStyle w:val="TableParagraph"/>
              <w:ind w:right="248"/>
            </w:pPr>
            <w:r>
              <w:t xml:space="preserve">(a) The safety policy should: </w:t>
            </w:r>
          </w:p>
          <w:p w14:paraId="303E2C8E" w14:textId="77777777" w:rsidR="00EC2DD9" w:rsidRDefault="00EC2DD9">
            <w:pPr>
              <w:pStyle w:val="TableParagraph"/>
              <w:ind w:right="248"/>
            </w:pPr>
          </w:p>
          <w:p w14:paraId="224EDA45" w14:textId="77777777" w:rsidR="003A06A9" w:rsidRDefault="009E23AC">
            <w:pPr>
              <w:pStyle w:val="TableParagraph"/>
              <w:ind w:right="248"/>
            </w:pPr>
            <w:r>
              <w:t xml:space="preserve">(1) reflect organisational commitments regarding safety, and its proactive and systematic management, including the promotion of a positive safety </w:t>
            </w:r>
            <w:proofErr w:type="gramStart"/>
            <w:r>
              <w:t>culture;</w:t>
            </w:r>
            <w:proofErr w:type="gramEnd"/>
            <w:r>
              <w:t xml:space="preserve"> </w:t>
            </w:r>
          </w:p>
          <w:p w14:paraId="20D885BD" w14:textId="77777777" w:rsidR="00EC2DD9" w:rsidRDefault="00EC2DD9">
            <w:pPr>
              <w:pStyle w:val="TableParagraph"/>
              <w:ind w:right="248"/>
            </w:pPr>
          </w:p>
          <w:p w14:paraId="2ABAB376" w14:textId="77777777" w:rsidR="00C518C8" w:rsidRDefault="009E23AC">
            <w:pPr>
              <w:pStyle w:val="TableParagraph"/>
              <w:ind w:right="248"/>
            </w:pPr>
            <w:r>
              <w:t xml:space="preserve">(2) include internal reporting principles, and encourage personnel to report maintenance-related errors, incidents and </w:t>
            </w:r>
            <w:proofErr w:type="gramStart"/>
            <w:r>
              <w:t>hazards;</w:t>
            </w:r>
            <w:proofErr w:type="gramEnd"/>
          </w:p>
          <w:p w14:paraId="73C5F511" w14:textId="77777777" w:rsidR="00EC2DD9" w:rsidRDefault="00EC2DD9">
            <w:pPr>
              <w:pStyle w:val="TableParagraph"/>
              <w:ind w:right="248"/>
            </w:pPr>
          </w:p>
          <w:p w14:paraId="51CB858B" w14:textId="77777777" w:rsidR="003A06A9" w:rsidRDefault="003A06A9">
            <w:pPr>
              <w:pStyle w:val="TableParagraph"/>
              <w:ind w:right="248"/>
            </w:pPr>
            <w:r>
              <w:t>(3) recognise the need for all personnel to cooperate with the compliance monitoring and internal investigations referred to under point (c) of AMC1 145.A.200(a)(3</w:t>
            </w:r>
            <w:proofErr w:type="gramStart"/>
            <w:r>
              <w:t>);</w:t>
            </w:r>
            <w:proofErr w:type="gramEnd"/>
            <w:r>
              <w:t xml:space="preserve"> </w:t>
            </w:r>
          </w:p>
          <w:p w14:paraId="1519DC86" w14:textId="77777777" w:rsidR="00EC2DD9" w:rsidRDefault="00EC2DD9">
            <w:pPr>
              <w:pStyle w:val="TableParagraph"/>
              <w:ind w:right="248"/>
            </w:pPr>
          </w:p>
          <w:p w14:paraId="2A57613A" w14:textId="77777777" w:rsidR="003A06A9" w:rsidRDefault="003A06A9">
            <w:pPr>
              <w:pStyle w:val="TableParagraph"/>
              <w:ind w:right="248"/>
            </w:pPr>
            <w:r>
              <w:t xml:space="preserve">(4) be endorsed by the accountable </w:t>
            </w:r>
            <w:proofErr w:type="gramStart"/>
            <w:r>
              <w:t>manager;</w:t>
            </w:r>
            <w:proofErr w:type="gramEnd"/>
            <w:r>
              <w:t xml:space="preserve"> </w:t>
            </w:r>
          </w:p>
          <w:p w14:paraId="21E38301" w14:textId="77777777" w:rsidR="00EC2DD9" w:rsidRDefault="00EC2DD9">
            <w:pPr>
              <w:pStyle w:val="TableParagraph"/>
              <w:ind w:right="248"/>
            </w:pPr>
          </w:p>
          <w:p w14:paraId="431ED9AE" w14:textId="77777777" w:rsidR="003A06A9" w:rsidRDefault="003A06A9">
            <w:pPr>
              <w:pStyle w:val="TableParagraph"/>
              <w:ind w:right="248"/>
            </w:pPr>
            <w:r>
              <w:t xml:space="preserve">(5) be communicated, with visible endorsement, throughout the organisation; and </w:t>
            </w:r>
          </w:p>
          <w:p w14:paraId="2B6EAB5A" w14:textId="77777777" w:rsidR="00EC2DD9" w:rsidRDefault="00EC2DD9">
            <w:pPr>
              <w:pStyle w:val="TableParagraph"/>
              <w:ind w:right="248"/>
            </w:pPr>
          </w:p>
          <w:p w14:paraId="2132AE5C" w14:textId="77777777" w:rsidR="003A06A9" w:rsidRDefault="003A06A9">
            <w:pPr>
              <w:pStyle w:val="TableParagraph"/>
              <w:ind w:right="248"/>
            </w:pPr>
            <w:r>
              <w:t xml:space="preserve">(6) be periodically reviewed to ensure it remains relevant and appropriate for the organisation. </w:t>
            </w:r>
          </w:p>
          <w:p w14:paraId="334E0700" w14:textId="77777777" w:rsidR="003A06A9" w:rsidRDefault="003A06A9">
            <w:pPr>
              <w:pStyle w:val="TableParagraph"/>
              <w:ind w:right="248"/>
            </w:pPr>
          </w:p>
          <w:p w14:paraId="6F2C8F70" w14:textId="77777777" w:rsidR="003A06A9" w:rsidRPr="008A4247" w:rsidRDefault="003A06A9">
            <w:pPr>
              <w:pStyle w:val="TableParagraph"/>
              <w:ind w:right="248"/>
              <w:rPr>
                <w:b/>
                <w:bCs/>
              </w:rPr>
            </w:pPr>
            <w:r w:rsidRPr="008A4247">
              <w:rPr>
                <w:b/>
                <w:bCs/>
                <w:highlight w:val="yellow"/>
              </w:rPr>
              <w:t>(b) The safety policy should include a commitment to:</w:t>
            </w:r>
            <w:r w:rsidRPr="008A4247">
              <w:rPr>
                <w:b/>
                <w:bCs/>
              </w:rPr>
              <w:t xml:space="preserve"> </w:t>
            </w:r>
          </w:p>
          <w:p w14:paraId="4BFF7B70" w14:textId="77777777" w:rsidR="008A4247" w:rsidRDefault="008A4247">
            <w:pPr>
              <w:pStyle w:val="TableParagraph"/>
              <w:ind w:right="248"/>
            </w:pPr>
          </w:p>
          <w:p w14:paraId="67A84D1D" w14:textId="77777777" w:rsidR="008A4247" w:rsidRDefault="003A06A9">
            <w:pPr>
              <w:pStyle w:val="TableParagraph"/>
              <w:ind w:right="248"/>
            </w:pPr>
            <w:r>
              <w:t xml:space="preserve">(1) comply with all the applicable legislation, to meet all the applicable requirements, and adopt practices to improve safety </w:t>
            </w:r>
            <w:proofErr w:type="gramStart"/>
            <w:r>
              <w:t>standards;</w:t>
            </w:r>
            <w:proofErr w:type="gramEnd"/>
            <w:r>
              <w:t xml:space="preserve"> </w:t>
            </w:r>
          </w:p>
          <w:p w14:paraId="15594CD3" w14:textId="77777777" w:rsidR="008A4247" w:rsidRDefault="008A4247">
            <w:pPr>
              <w:pStyle w:val="TableParagraph"/>
              <w:ind w:right="248"/>
            </w:pPr>
          </w:p>
          <w:p w14:paraId="3CDEDE03" w14:textId="3EA32F45" w:rsidR="003A06A9" w:rsidRDefault="003A06A9">
            <w:pPr>
              <w:pStyle w:val="TableParagraph"/>
              <w:ind w:right="248"/>
            </w:pPr>
            <w:r>
              <w:t xml:space="preserve">(2) provide the necessary resources for the implementation of the safety </w:t>
            </w:r>
            <w:proofErr w:type="gramStart"/>
            <w:r>
              <w:t>policy;</w:t>
            </w:r>
            <w:proofErr w:type="gramEnd"/>
            <w:r>
              <w:t xml:space="preserve"> </w:t>
            </w:r>
          </w:p>
          <w:p w14:paraId="74E05F04" w14:textId="77777777" w:rsidR="008A4247" w:rsidRDefault="008A4247">
            <w:pPr>
              <w:pStyle w:val="TableParagraph"/>
              <w:ind w:right="248"/>
            </w:pPr>
          </w:p>
          <w:p w14:paraId="5F8E41DD" w14:textId="1DE4FD91" w:rsidR="003A06A9" w:rsidRDefault="003A06A9">
            <w:pPr>
              <w:pStyle w:val="TableParagraph"/>
              <w:ind w:right="248"/>
            </w:pPr>
            <w:r>
              <w:t xml:space="preserve">(3) apply human factors principles, including giving due consideration to the aspect of </w:t>
            </w:r>
            <w:proofErr w:type="gramStart"/>
            <w:r>
              <w:t>fatigue;</w:t>
            </w:r>
            <w:proofErr w:type="gramEnd"/>
            <w:r>
              <w:t xml:space="preserve"> </w:t>
            </w:r>
          </w:p>
          <w:p w14:paraId="3E4B3417" w14:textId="77777777" w:rsidR="008A4247" w:rsidRDefault="008A4247">
            <w:pPr>
              <w:pStyle w:val="TableParagraph"/>
              <w:ind w:right="248"/>
            </w:pPr>
          </w:p>
          <w:p w14:paraId="5BCF40F0" w14:textId="5EAA1742" w:rsidR="003A06A9" w:rsidRDefault="003A06A9">
            <w:pPr>
              <w:pStyle w:val="TableParagraph"/>
              <w:ind w:right="248"/>
            </w:pPr>
            <w:r>
              <w:t xml:space="preserve">(4) enforce safety as a primary responsibility of all managers; and </w:t>
            </w:r>
          </w:p>
          <w:p w14:paraId="152AE62D" w14:textId="77777777" w:rsidR="008A4247" w:rsidRDefault="008A4247">
            <w:pPr>
              <w:pStyle w:val="TableParagraph"/>
              <w:ind w:right="248"/>
            </w:pPr>
          </w:p>
          <w:p w14:paraId="3A8EB680" w14:textId="77777777" w:rsidR="008A4247" w:rsidRDefault="003A06A9">
            <w:pPr>
              <w:pStyle w:val="TableParagraph"/>
              <w:ind w:right="248"/>
            </w:pPr>
            <w:r>
              <w:t xml:space="preserve">(5) apply ‘just culture’ principles to internal safety reporting and the investigation of occurrences and, in particular, </w:t>
            </w:r>
          </w:p>
          <w:p w14:paraId="56A8512A" w14:textId="77777777" w:rsidR="008A4247" w:rsidRDefault="008A4247">
            <w:pPr>
              <w:pStyle w:val="TableParagraph"/>
              <w:ind w:right="248"/>
            </w:pPr>
          </w:p>
          <w:p w14:paraId="0893D6EF" w14:textId="77777777" w:rsidR="008A4247" w:rsidRDefault="008A4247">
            <w:pPr>
              <w:pStyle w:val="TableParagraph"/>
              <w:ind w:right="248"/>
            </w:pPr>
          </w:p>
          <w:p w14:paraId="16442320" w14:textId="123EA6DB" w:rsidR="003A06A9" w:rsidRDefault="003A06A9">
            <w:pPr>
              <w:pStyle w:val="TableParagraph"/>
              <w:ind w:right="248"/>
              <w:rPr>
                <w:b/>
                <w:bCs/>
                <w:sz w:val="26"/>
                <w:szCs w:val="26"/>
              </w:rPr>
            </w:pPr>
            <w:r w:rsidRPr="008A4247">
              <w:rPr>
                <w:b/>
                <w:bCs/>
                <w:sz w:val="26"/>
                <w:szCs w:val="26"/>
              </w:rPr>
              <w:lastRenderedPageBreak/>
              <w:t xml:space="preserve">not to make available or use the information on occurrences: </w:t>
            </w:r>
          </w:p>
          <w:p w14:paraId="3BB76641" w14:textId="77777777" w:rsidR="008A4247" w:rsidRPr="008A4247" w:rsidRDefault="008A4247">
            <w:pPr>
              <w:pStyle w:val="TableParagraph"/>
              <w:ind w:right="248"/>
              <w:rPr>
                <w:b/>
                <w:bCs/>
                <w:sz w:val="26"/>
                <w:szCs w:val="26"/>
              </w:rPr>
            </w:pPr>
          </w:p>
          <w:p w14:paraId="73902797" w14:textId="77777777" w:rsidR="003A06A9" w:rsidRDefault="003A06A9">
            <w:pPr>
              <w:pStyle w:val="TableParagraph"/>
              <w:ind w:right="248"/>
            </w:pPr>
            <w:r>
              <w:t>(</w:t>
            </w:r>
            <w:proofErr w:type="spellStart"/>
            <w:r>
              <w:t>i</w:t>
            </w:r>
            <w:proofErr w:type="spellEnd"/>
            <w:r>
              <w:t xml:space="preserve">) to attribute blame or liability to front-line personnel or other persons for actions, omissions or decisions taken by them that are commensurate with their experience and training; or </w:t>
            </w:r>
          </w:p>
          <w:p w14:paraId="3137F73C" w14:textId="77777777" w:rsidR="008A4247" w:rsidRDefault="008A4247">
            <w:pPr>
              <w:pStyle w:val="TableParagraph"/>
              <w:ind w:right="248"/>
            </w:pPr>
          </w:p>
          <w:p w14:paraId="03E2E190" w14:textId="77777777" w:rsidR="003A06A9" w:rsidRDefault="003A06A9">
            <w:pPr>
              <w:pStyle w:val="TableParagraph"/>
              <w:ind w:right="248"/>
            </w:pPr>
            <w:r>
              <w:t xml:space="preserve">(ii) for any purpose other than maintaining or improving aviation safety. </w:t>
            </w:r>
          </w:p>
          <w:p w14:paraId="6D9DFC27" w14:textId="77777777" w:rsidR="008A4247" w:rsidRDefault="008A4247">
            <w:pPr>
              <w:pStyle w:val="TableParagraph"/>
              <w:ind w:right="248"/>
            </w:pPr>
          </w:p>
          <w:p w14:paraId="768E6BE7" w14:textId="77777777" w:rsidR="003A06A9" w:rsidRDefault="003A06A9">
            <w:pPr>
              <w:pStyle w:val="TableParagraph"/>
              <w:ind w:right="248"/>
            </w:pPr>
            <w:r>
              <w:t xml:space="preserve">(c) Senior management should continually promote the safety policy to all personnel, demonstrate </w:t>
            </w:r>
            <w:proofErr w:type="gramStart"/>
            <w:r>
              <w:t>its</w:t>
            </w:r>
            <w:proofErr w:type="gramEnd"/>
            <w:r>
              <w:t xml:space="preserve"> commitment to it, and provide necessary human and financial resources for its implementation. </w:t>
            </w:r>
          </w:p>
          <w:p w14:paraId="7511C292" w14:textId="77777777" w:rsidR="008A4247" w:rsidRDefault="008A4247">
            <w:pPr>
              <w:pStyle w:val="TableParagraph"/>
              <w:ind w:right="248"/>
            </w:pPr>
          </w:p>
          <w:p w14:paraId="655C78FF" w14:textId="2018A19A" w:rsidR="008A4247" w:rsidRPr="008A4247" w:rsidRDefault="008A4247">
            <w:pPr>
              <w:pStyle w:val="TableParagraph"/>
              <w:ind w:right="248"/>
              <w:rPr>
                <w:i/>
                <w:iCs/>
              </w:rPr>
            </w:pPr>
            <w:r w:rsidRPr="008A4247">
              <w:rPr>
                <w:i/>
                <w:iCs/>
                <w:highlight w:val="cyan"/>
              </w:rPr>
              <w:t>Audit Check Point – look for evidence regarding the promotion of SMS by Senior Management</w:t>
            </w:r>
          </w:p>
          <w:p w14:paraId="74CDB003" w14:textId="77777777" w:rsidR="008A4247" w:rsidRDefault="008A4247">
            <w:pPr>
              <w:pStyle w:val="TableParagraph"/>
              <w:ind w:right="248"/>
            </w:pPr>
          </w:p>
          <w:p w14:paraId="25DF85C3" w14:textId="77777777" w:rsidR="008A4247" w:rsidRDefault="003A06A9">
            <w:pPr>
              <w:pStyle w:val="TableParagraph"/>
              <w:ind w:right="248"/>
            </w:pPr>
            <w:r>
              <w:t xml:space="preserve">(d) Taking due account of its safety policy, the organisation should define safety objectives. </w:t>
            </w:r>
          </w:p>
          <w:p w14:paraId="3458E10F" w14:textId="77777777" w:rsidR="008A4247" w:rsidRDefault="008A4247">
            <w:pPr>
              <w:pStyle w:val="TableParagraph"/>
              <w:ind w:right="248"/>
            </w:pPr>
          </w:p>
          <w:p w14:paraId="1875901F" w14:textId="0B1B60AF" w:rsidR="003A06A9" w:rsidRDefault="003A06A9">
            <w:pPr>
              <w:pStyle w:val="TableParagraph"/>
              <w:ind w:right="248"/>
            </w:pPr>
            <w:r>
              <w:t xml:space="preserve">The safety objectives should: </w:t>
            </w:r>
          </w:p>
          <w:p w14:paraId="401395E3" w14:textId="77777777" w:rsidR="008A4247" w:rsidRDefault="008A4247">
            <w:pPr>
              <w:pStyle w:val="TableParagraph"/>
              <w:ind w:right="248"/>
            </w:pPr>
          </w:p>
          <w:p w14:paraId="73E4C3AA" w14:textId="77777777" w:rsidR="003A06A9" w:rsidRDefault="003A06A9">
            <w:pPr>
              <w:pStyle w:val="TableParagraph"/>
              <w:ind w:right="248"/>
            </w:pPr>
            <w:r>
              <w:t xml:space="preserve">(1) form the basis for safety performance monitoring and </w:t>
            </w:r>
            <w:proofErr w:type="gramStart"/>
            <w:r>
              <w:t>measurement;</w:t>
            </w:r>
            <w:proofErr w:type="gramEnd"/>
            <w:r>
              <w:t xml:space="preserve"> </w:t>
            </w:r>
          </w:p>
          <w:p w14:paraId="0C850CD3" w14:textId="77777777" w:rsidR="003A06A9" w:rsidRDefault="003A06A9">
            <w:pPr>
              <w:pStyle w:val="TableParagraph"/>
              <w:ind w:right="248"/>
            </w:pPr>
            <w:r>
              <w:t xml:space="preserve">(2) reflect the organisation’s commitment to maintain or continuously improve the overall effectiveness of the management </w:t>
            </w:r>
            <w:proofErr w:type="gramStart"/>
            <w:r>
              <w:t>system;</w:t>
            </w:r>
            <w:proofErr w:type="gramEnd"/>
            <w:r>
              <w:t xml:space="preserve"> </w:t>
            </w:r>
          </w:p>
          <w:p w14:paraId="13DD34CE" w14:textId="77777777" w:rsidR="003A06A9" w:rsidRDefault="003A06A9">
            <w:pPr>
              <w:pStyle w:val="TableParagraph"/>
              <w:ind w:right="248"/>
            </w:pPr>
            <w:r>
              <w:t xml:space="preserve">(3) be communicated throughout the organisation; and </w:t>
            </w:r>
          </w:p>
          <w:p w14:paraId="27CFB409" w14:textId="77777777" w:rsidR="003A06A9" w:rsidRDefault="003A06A9">
            <w:pPr>
              <w:pStyle w:val="TableParagraph"/>
              <w:ind w:right="248"/>
            </w:pPr>
            <w:r>
              <w:t>(4) be periodically reviewed to ensure they remain relevant and appropriate for the organisation.</w:t>
            </w:r>
          </w:p>
          <w:p w14:paraId="6DB8E1E3" w14:textId="77777777" w:rsidR="003A06A9" w:rsidRDefault="003A06A9">
            <w:pPr>
              <w:pStyle w:val="TableParagraph"/>
              <w:ind w:right="248"/>
            </w:pPr>
          </w:p>
          <w:p w14:paraId="447641B1" w14:textId="77777777" w:rsidR="003A06A9" w:rsidRDefault="003A06A9">
            <w:pPr>
              <w:pStyle w:val="TableParagraph"/>
              <w:ind w:right="248"/>
            </w:pPr>
            <w:r w:rsidRPr="003A06A9">
              <w:rPr>
                <w:b/>
                <w:bCs/>
              </w:rPr>
              <w:t>GM1 145.A.200(a)(2) Management system</w:t>
            </w:r>
            <w:r>
              <w:t xml:space="preserve"> ED Decision 2022/011/R </w:t>
            </w:r>
          </w:p>
          <w:p w14:paraId="5B90811D" w14:textId="77777777" w:rsidR="003A06A9" w:rsidRDefault="003A06A9">
            <w:pPr>
              <w:pStyle w:val="TableParagraph"/>
              <w:ind w:right="248"/>
            </w:pPr>
            <w:r>
              <w:t xml:space="preserve">SAFETY POLICY </w:t>
            </w:r>
          </w:p>
          <w:p w14:paraId="548378FD" w14:textId="77777777" w:rsidR="003A06A9" w:rsidRDefault="003A06A9">
            <w:pPr>
              <w:pStyle w:val="TableParagraph"/>
              <w:ind w:right="248"/>
            </w:pPr>
          </w:p>
          <w:p w14:paraId="71595CF0" w14:textId="77777777" w:rsidR="008A4247" w:rsidRDefault="003A06A9">
            <w:pPr>
              <w:pStyle w:val="TableParagraph"/>
              <w:ind w:right="248"/>
            </w:pPr>
            <w:r>
              <w:t xml:space="preserve">(a) The safety policy is the means whereby the organisation states its intention to maintain and, where practicable, improve safety levels in all its activities and to </w:t>
            </w:r>
            <w:proofErr w:type="spellStart"/>
            <w:r>
              <w:t>minimise</w:t>
            </w:r>
            <w:proofErr w:type="spellEnd"/>
            <w:r>
              <w:t xml:space="preserve"> its contribution to the risk of an aircraft accident or serious incident as far as is reasonably practicable. </w:t>
            </w:r>
          </w:p>
          <w:p w14:paraId="5BC76F1B" w14:textId="77777777" w:rsidR="008A4247" w:rsidRDefault="008A4247">
            <w:pPr>
              <w:pStyle w:val="TableParagraph"/>
              <w:ind w:right="248"/>
            </w:pPr>
          </w:p>
          <w:p w14:paraId="136500BA" w14:textId="77777777" w:rsidR="008A4247" w:rsidRDefault="003A06A9">
            <w:pPr>
              <w:pStyle w:val="TableParagraph"/>
              <w:ind w:right="248"/>
            </w:pPr>
            <w:r>
              <w:t xml:space="preserve">It reflects the management’s commitment to safety, and should reflect the organisation’s philosophy of safety management, as well as being the foundation on which the organisation’s </w:t>
            </w:r>
            <w:r w:rsidR="008A4247">
              <w:t>management system</w:t>
            </w:r>
            <w:r>
              <w:t xml:space="preserve"> is built. </w:t>
            </w:r>
          </w:p>
          <w:p w14:paraId="484FF786" w14:textId="77777777" w:rsidR="008A4247" w:rsidRDefault="008A4247">
            <w:pPr>
              <w:pStyle w:val="TableParagraph"/>
              <w:ind w:right="248"/>
            </w:pPr>
          </w:p>
          <w:p w14:paraId="01C320F6" w14:textId="24D98855" w:rsidR="003A06A9" w:rsidRDefault="003A06A9">
            <w:pPr>
              <w:pStyle w:val="TableParagraph"/>
              <w:ind w:right="248"/>
            </w:pPr>
            <w:r>
              <w:t xml:space="preserve">It serves as a reminder of ‘how we do business here’. The creation of a positive </w:t>
            </w:r>
            <w:r>
              <w:lastRenderedPageBreak/>
              <w:t xml:space="preserve">safety culture begins with the issuance of a clear, unequivocal policy. </w:t>
            </w:r>
          </w:p>
          <w:p w14:paraId="29F50E0A" w14:textId="77777777" w:rsidR="003A06A9" w:rsidRDefault="003A06A9">
            <w:pPr>
              <w:pStyle w:val="TableParagraph"/>
              <w:ind w:right="248"/>
            </w:pPr>
          </w:p>
          <w:p w14:paraId="5CB14480" w14:textId="77777777" w:rsidR="003A06A9" w:rsidRDefault="003A06A9">
            <w:pPr>
              <w:pStyle w:val="TableParagraph"/>
              <w:ind w:right="248"/>
            </w:pPr>
            <w:r>
              <w:t xml:space="preserve">(b) The commitment to apply ‘just culture’ principles </w:t>
            </w:r>
            <w:proofErr w:type="gramStart"/>
            <w:r>
              <w:t>forms</w:t>
            </w:r>
            <w:proofErr w:type="gramEnd"/>
            <w:r>
              <w:t xml:space="preserve"> the basis for the organisation’s internal rules describing how ‘just culture’ principles are guaranteed and implemented. </w:t>
            </w:r>
          </w:p>
          <w:p w14:paraId="1DEC9220" w14:textId="77777777" w:rsidR="003A06A9" w:rsidRDefault="003A06A9">
            <w:pPr>
              <w:pStyle w:val="TableParagraph"/>
              <w:ind w:right="248"/>
            </w:pPr>
          </w:p>
          <w:p w14:paraId="229FA4A3" w14:textId="77777777" w:rsidR="003A06A9" w:rsidRDefault="003A06A9">
            <w:pPr>
              <w:pStyle w:val="TableParagraph"/>
              <w:ind w:right="248"/>
            </w:pPr>
            <w:r>
              <w:t xml:space="preserve">(c) For organisations that have their principal place of business in a Member State, Regulation (EU) No 376/2014 defines the ‘just culture’ principles to be applied (refer </w:t>
            </w:r>
            <w:proofErr w:type="gramStart"/>
            <w:r>
              <w:t>in particular to</w:t>
            </w:r>
            <w:proofErr w:type="gramEnd"/>
            <w:r>
              <w:t xml:space="preserve"> Article 16(11) of that Regulation).</w:t>
            </w:r>
          </w:p>
          <w:p w14:paraId="5860BAE3" w14:textId="179DDB23" w:rsidR="003A06A9" w:rsidRDefault="003A06A9">
            <w:pPr>
              <w:pStyle w:val="TableParagraph"/>
              <w:ind w:right="248"/>
              <w:rPr>
                <w:sz w:val="24"/>
              </w:rPr>
            </w:pPr>
          </w:p>
        </w:tc>
        <w:tc>
          <w:tcPr>
            <w:tcW w:w="4203" w:type="dxa"/>
          </w:tcPr>
          <w:p w14:paraId="11EE68E4" w14:textId="77777777" w:rsidR="00C518C8" w:rsidRDefault="00C518C8">
            <w:pPr>
              <w:pStyle w:val="TableParagraph"/>
              <w:ind w:left="0"/>
              <w:rPr>
                <w:rFonts w:ascii="Times New Roman"/>
                <w:sz w:val="24"/>
              </w:rPr>
            </w:pPr>
          </w:p>
        </w:tc>
      </w:tr>
      <w:tr w:rsidR="00C518C8" w14:paraId="4D4C0D01" w14:textId="77777777">
        <w:trPr>
          <w:trHeight w:val="1379"/>
        </w:trPr>
        <w:tc>
          <w:tcPr>
            <w:tcW w:w="4815" w:type="dxa"/>
          </w:tcPr>
          <w:p w14:paraId="79D5B000" w14:textId="77777777" w:rsidR="003A06A9" w:rsidRDefault="003A06A9">
            <w:pPr>
              <w:pStyle w:val="TableParagraph"/>
              <w:ind w:right="248"/>
            </w:pPr>
            <w:r w:rsidRPr="003A06A9">
              <w:rPr>
                <w:b/>
                <w:bCs/>
              </w:rPr>
              <w:lastRenderedPageBreak/>
              <w:t>AMC1 145.A.200(a)(3) Management system</w:t>
            </w:r>
            <w:r>
              <w:t xml:space="preserve"> ED Decision 2022/011/R </w:t>
            </w:r>
          </w:p>
          <w:p w14:paraId="18F207BA" w14:textId="77777777" w:rsidR="003A06A9" w:rsidRDefault="003A06A9">
            <w:pPr>
              <w:pStyle w:val="TableParagraph"/>
              <w:ind w:right="248"/>
            </w:pPr>
          </w:p>
          <w:p w14:paraId="1AEA2CB0" w14:textId="77777777" w:rsidR="003A06A9" w:rsidRDefault="003A06A9">
            <w:pPr>
              <w:pStyle w:val="TableParagraph"/>
              <w:ind w:right="248"/>
              <w:rPr>
                <w:b/>
                <w:bCs/>
              </w:rPr>
            </w:pPr>
            <w:r w:rsidRPr="00D62888">
              <w:rPr>
                <w:b/>
                <w:bCs/>
                <w:highlight w:val="yellow"/>
              </w:rPr>
              <w:t>SAFETY MANAGEMENT KEY PROCESSES</w:t>
            </w:r>
            <w:r w:rsidRPr="00D62888">
              <w:rPr>
                <w:b/>
                <w:bCs/>
              </w:rPr>
              <w:t xml:space="preserve"> </w:t>
            </w:r>
          </w:p>
          <w:p w14:paraId="057E8504" w14:textId="77777777" w:rsidR="00D62888" w:rsidRPr="00D62888" w:rsidRDefault="00D62888">
            <w:pPr>
              <w:pStyle w:val="TableParagraph"/>
              <w:ind w:right="248"/>
              <w:rPr>
                <w:b/>
                <w:bCs/>
              </w:rPr>
            </w:pPr>
          </w:p>
          <w:p w14:paraId="7D51DE35" w14:textId="689E45D7" w:rsidR="003A06A9" w:rsidRDefault="003A06A9">
            <w:pPr>
              <w:pStyle w:val="TableParagraph"/>
              <w:ind w:right="248"/>
            </w:pPr>
            <w:r>
              <w:t xml:space="preserve">(a) Hazard identification processes </w:t>
            </w:r>
          </w:p>
          <w:p w14:paraId="06904B1D" w14:textId="77777777" w:rsidR="003A06A9" w:rsidRDefault="003A06A9">
            <w:pPr>
              <w:pStyle w:val="TableParagraph"/>
              <w:ind w:right="248"/>
            </w:pPr>
          </w:p>
          <w:p w14:paraId="1FC66CAC" w14:textId="77777777" w:rsidR="003A06A9" w:rsidRDefault="003A06A9">
            <w:pPr>
              <w:pStyle w:val="TableParagraph"/>
              <w:ind w:right="248"/>
            </w:pPr>
            <w:r>
              <w:t xml:space="preserve">(1) A reporting scheme should be the formal means of collecting, recording, </w:t>
            </w:r>
            <w:proofErr w:type="spellStart"/>
            <w:r>
              <w:t>analysing</w:t>
            </w:r>
            <w:proofErr w:type="spellEnd"/>
            <w:r>
              <w:t xml:space="preserve">, acting on, and generating feedback about hazards, events and the associated risks that may affect safety. </w:t>
            </w:r>
          </w:p>
          <w:p w14:paraId="3277923D" w14:textId="77777777" w:rsidR="003A06A9" w:rsidRDefault="003A06A9">
            <w:pPr>
              <w:pStyle w:val="TableParagraph"/>
              <w:ind w:right="248"/>
            </w:pPr>
          </w:p>
          <w:p w14:paraId="0958A5F6" w14:textId="77777777" w:rsidR="003A06A9" w:rsidRDefault="003A06A9">
            <w:pPr>
              <w:pStyle w:val="TableParagraph"/>
              <w:ind w:right="248"/>
            </w:pPr>
            <w:r>
              <w:t xml:space="preserve">(2) The hazards identification should include in particular: </w:t>
            </w:r>
          </w:p>
          <w:p w14:paraId="7491ADD6" w14:textId="77777777" w:rsidR="008A4247" w:rsidRDefault="008A4247">
            <w:pPr>
              <w:pStyle w:val="TableParagraph"/>
              <w:ind w:right="248"/>
            </w:pPr>
          </w:p>
          <w:p w14:paraId="3C15A057" w14:textId="77777777" w:rsidR="003A06A9" w:rsidRDefault="003A06A9">
            <w:pPr>
              <w:pStyle w:val="TableParagraph"/>
              <w:ind w:right="248"/>
            </w:pPr>
            <w:r>
              <w:t>(</w:t>
            </w:r>
            <w:proofErr w:type="spellStart"/>
            <w:r>
              <w:t>i</w:t>
            </w:r>
            <w:proofErr w:type="spellEnd"/>
            <w:r>
              <w:t xml:space="preserve">) hazards that may be linked to human factors issues that affect human performance; and </w:t>
            </w:r>
          </w:p>
          <w:p w14:paraId="4FCE877E" w14:textId="77777777" w:rsidR="008A4247" w:rsidRDefault="008A4247">
            <w:pPr>
              <w:pStyle w:val="TableParagraph"/>
              <w:ind w:right="248"/>
            </w:pPr>
          </w:p>
          <w:p w14:paraId="4B9A88E4" w14:textId="77777777" w:rsidR="003A06A9" w:rsidRDefault="003A06A9">
            <w:pPr>
              <w:pStyle w:val="TableParagraph"/>
              <w:ind w:right="248"/>
            </w:pPr>
            <w:r>
              <w:t xml:space="preserve">(ii) hazards that may stem from the organisational set-up or the existence of complex operational and maintenance arrangements (such as when multiple organisations are contracted, or when multiple levels of contracting/subcontracting are included). </w:t>
            </w:r>
          </w:p>
          <w:p w14:paraId="63B1A9B6" w14:textId="77777777" w:rsidR="003A06A9" w:rsidRDefault="003A06A9">
            <w:pPr>
              <w:pStyle w:val="TableParagraph"/>
              <w:ind w:right="248"/>
            </w:pPr>
          </w:p>
          <w:p w14:paraId="74BB7283" w14:textId="77777777" w:rsidR="003A06A9" w:rsidRDefault="003A06A9">
            <w:pPr>
              <w:pStyle w:val="TableParagraph"/>
              <w:ind w:right="248"/>
            </w:pPr>
            <w:r>
              <w:t xml:space="preserve">(b) Risk management processes </w:t>
            </w:r>
          </w:p>
          <w:p w14:paraId="65060AB7" w14:textId="77777777" w:rsidR="003A06A9" w:rsidRDefault="003A06A9">
            <w:pPr>
              <w:pStyle w:val="TableParagraph"/>
              <w:ind w:right="248"/>
            </w:pPr>
          </w:p>
          <w:p w14:paraId="35EA0227" w14:textId="77777777" w:rsidR="003A06A9" w:rsidRDefault="003A06A9">
            <w:pPr>
              <w:pStyle w:val="TableParagraph"/>
              <w:ind w:right="248"/>
            </w:pPr>
            <w:r>
              <w:t xml:space="preserve">(1) A formal safety risk management process should be developed and maintained that ensures reactive, </w:t>
            </w:r>
            <w:proofErr w:type="gramStart"/>
            <w:r>
              <w:t>proactive</w:t>
            </w:r>
            <w:proofErr w:type="gramEnd"/>
            <w:r>
              <w:t xml:space="preserve"> and predictive approach composed by: </w:t>
            </w:r>
          </w:p>
          <w:p w14:paraId="3AB4C1DA" w14:textId="77777777" w:rsidR="00D62888" w:rsidRDefault="00D62888">
            <w:pPr>
              <w:pStyle w:val="TableParagraph"/>
              <w:ind w:right="248"/>
            </w:pPr>
          </w:p>
          <w:p w14:paraId="4BFB0B99" w14:textId="77777777" w:rsidR="003A06A9" w:rsidRDefault="003A06A9">
            <w:pPr>
              <w:pStyle w:val="TableParagraph"/>
              <w:ind w:right="248"/>
            </w:pPr>
            <w:r>
              <w:t>(</w:t>
            </w:r>
            <w:proofErr w:type="spellStart"/>
            <w:r>
              <w:t>i</w:t>
            </w:r>
            <w:proofErr w:type="spellEnd"/>
            <w:r>
              <w:t>) analysis (</w:t>
            </w:r>
            <w:proofErr w:type="gramStart"/>
            <w:r>
              <w:t>e.g.</w:t>
            </w:r>
            <w:proofErr w:type="gramEnd"/>
            <w:r>
              <w:t xml:space="preserve"> in terms of the probability and severity of the consequences of hazards and occurrences); </w:t>
            </w:r>
          </w:p>
          <w:p w14:paraId="4411B836" w14:textId="77777777" w:rsidR="00D62888" w:rsidRDefault="00D62888">
            <w:pPr>
              <w:pStyle w:val="TableParagraph"/>
              <w:ind w:right="248"/>
            </w:pPr>
          </w:p>
          <w:p w14:paraId="7C791C8A" w14:textId="77777777" w:rsidR="003A06A9" w:rsidRDefault="003A06A9">
            <w:pPr>
              <w:pStyle w:val="TableParagraph"/>
              <w:ind w:right="248"/>
            </w:pPr>
            <w:r>
              <w:t>(ii) assessment (in terms of tolerability</w:t>
            </w:r>
            <w:proofErr w:type="gramStart"/>
            <w:r>
              <w:t>);</w:t>
            </w:r>
            <w:proofErr w:type="gramEnd"/>
            <w:r>
              <w:t xml:space="preserve"> </w:t>
            </w:r>
          </w:p>
          <w:p w14:paraId="5C38BF90" w14:textId="77777777" w:rsidR="00D62888" w:rsidRDefault="00D62888">
            <w:pPr>
              <w:pStyle w:val="TableParagraph"/>
              <w:ind w:right="248"/>
            </w:pPr>
          </w:p>
          <w:p w14:paraId="7D65F893" w14:textId="77777777" w:rsidR="003A06A9" w:rsidRDefault="003A06A9">
            <w:pPr>
              <w:pStyle w:val="TableParagraph"/>
              <w:ind w:right="248"/>
            </w:pPr>
            <w:r>
              <w:t xml:space="preserve">(iii) control (in terms of mitigation) of risks to an acceptable level. </w:t>
            </w:r>
          </w:p>
          <w:p w14:paraId="6DCA7DBE" w14:textId="77777777" w:rsidR="003A06A9" w:rsidRDefault="003A06A9">
            <w:pPr>
              <w:pStyle w:val="TableParagraph"/>
              <w:ind w:right="248"/>
            </w:pPr>
          </w:p>
          <w:p w14:paraId="13735EA6" w14:textId="77777777" w:rsidR="003A06A9" w:rsidRDefault="003A06A9">
            <w:pPr>
              <w:pStyle w:val="TableParagraph"/>
              <w:ind w:right="248"/>
            </w:pPr>
            <w:r>
              <w:t xml:space="preserve">Note: The severity of the consequence should be evaluated to the best knowledge and engineering judgement of the organisation, and this evaluation may require collecting information from the competent authority, incident/accident investigation reports, the design approval holder, etc. </w:t>
            </w:r>
          </w:p>
          <w:p w14:paraId="21DA0598" w14:textId="77777777" w:rsidR="003A06A9" w:rsidRDefault="003A06A9">
            <w:pPr>
              <w:pStyle w:val="TableParagraph"/>
              <w:ind w:right="248"/>
            </w:pPr>
          </w:p>
          <w:p w14:paraId="038974DC" w14:textId="77777777" w:rsidR="003A06A9" w:rsidRDefault="003A06A9">
            <w:pPr>
              <w:pStyle w:val="TableParagraph"/>
              <w:ind w:right="248"/>
            </w:pPr>
            <w:r>
              <w:t xml:space="preserve">(2) The levels of management who have the authority to make decisions regarding the tolerability of safety risks, in accordance with (b)(1)(ii), should be specified. </w:t>
            </w:r>
          </w:p>
          <w:p w14:paraId="11BED58C" w14:textId="77777777" w:rsidR="003A06A9" w:rsidRDefault="003A06A9">
            <w:pPr>
              <w:pStyle w:val="TableParagraph"/>
              <w:ind w:right="248"/>
            </w:pPr>
          </w:p>
          <w:p w14:paraId="32AD8E83" w14:textId="77777777" w:rsidR="003A06A9" w:rsidRPr="00D62888" w:rsidRDefault="003A06A9">
            <w:pPr>
              <w:pStyle w:val="TableParagraph"/>
              <w:ind w:right="248"/>
              <w:rPr>
                <w:b/>
                <w:bCs/>
              </w:rPr>
            </w:pPr>
            <w:r w:rsidRPr="00D62888">
              <w:rPr>
                <w:b/>
                <w:bCs/>
                <w:highlight w:val="yellow"/>
              </w:rPr>
              <w:t>(c) Internal investigation</w:t>
            </w:r>
            <w:r w:rsidRPr="00D62888">
              <w:rPr>
                <w:b/>
                <w:bCs/>
              </w:rPr>
              <w:t xml:space="preserve"> </w:t>
            </w:r>
          </w:p>
          <w:p w14:paraId="63458225" w14:textId="77777777" w:rsidR="00D62888" w:rsidRDefault="00D62888">
            <w:pPr>
              <w:pStyle w:val="TableParagraph"/>
              <w:ind w:right="248"/>
            </w:pPr>
          </w:p>
          <w:p w14:paraId="59D7BC06" w14:textId="77777777" w:rsidR="00D62888" w:rsidRDefault="003A06A9" w:rsidP="003A06A9">
            <w:pPr>
              <w:pStyle w:val="TableParagraph"/>
              <w:ind w:left="0" w:right="248"/>
            </w:pPr>
            <w:r>
              <w:t xml:space="preserve">(1) In line with its just culture policy, the organisation should define how to investigate incidents such as errors or near misses, </w:t>
            </w:r>
            <w:proofErr w:type="gramStart"/>
            <w:r>
              <w:t>in order to</w:t>
            </w:r>
            <w:proofErr w:type="gramEnd"/>
            <w:r>
              <w:t xml:space="preserve"> understand not only what happened, but also how it happened, to prevent or reduce the probability and/or consequence of future recurrences (refer to AMC1 145.A.202). </w:t>
            </w:r>
          </w:p>
          <w:p w14:paraId="0DBDCD5D" w14:textId="77777777" w:rsidR="00D62888" w:rsidRDefault="00D62888" w:rsidP="003A06A9">
            <w:pPr>
              <w:pStyle w:val="TableParagraph"/>
              <w:ind w:left="0" w:right="248"/>
            </w:pPr>
          </w:p>
          <w:p w14:paraId="2335BDF1" w14:textId="44550C18" w:rsidR="00C518C8" w:rsidRDefault="003A06A9" w:rsidP="003A06A9">
            <w:pPr>
              <w:pStyle w:val="TableParagraph"/>
              <w:ind w:left="0" w:right="248"/>
            </w:pPr>
            <w:r>
              <w:t>This approach should avoid concentrating the analysis on who was (were) directly or indirectly concerned by the events.</w:t>
            </w:r>
          </w:p>
          <w:p w14:paraId="44A5AFE7" w14:textId="77777777" w:rsidR="00D62888" w:rsidRDefault="00D62888" w:rsidP="003A06A9">
            <w:pPr>
              <w:pStyle w:val="TableParagraph"/>
              <w:ind w:left="0" w:right="248"/>
            </w:pPr>
          </w:p>
          <w:p w14:paraId="330ED1EF" w14:textId="77777777" w:rsidR="003A06A9" w:rsidRDefault="003A06A9" w:rsidP="003A06A9">
            <w:pPr>
              <w:pStyle w:val="TableParagraph"/>
              <w:ind w:left="0" w:right="248"/>
            </w:pPr>
            <w:r>
              <w:t xml:space="preserve">(2) The scope of internal investigations should extend beyond the scope of the occurrences required to be reported to the competent authority in accordance with point 145.A.60, to include the reports referred to in 145.A.202(b). </w:t>
            </w:r>
          </w:p>
          <w:p w14:paraId="27CECB29" w14:textId="77777777" w:rsidR="003A06A9" w:rsidRDefault="003A06A9">
            <w:pPr>
              <w:pStyle w:val="TableParagraph"/>
              <w:ind w:right="248"/>
            </w:pPr>
          </w:p>
          <w:p w14:paraId="221A0856" w14:textId="77777777" w:rsidR="003A06A9" w:rsidRDefault="003A06A9">
            <w:pPr>
              <w:pStyle w:val="TableParagraph"/>
              <w:ind w:right="248"/>
            </w:pPr>
            <w:r>
              <w:t xml:space="preserve">(d) Safety performance monitoring and measurement </w:t>
            </w:r>
          </w:p>
          <w:p w14:paraId="3A1AFBF5" w14:textId="77777777" w:rsidR="003A06A9" w:rsidRDefault="003A06A9">
            <w:pPr>
              <w:pStyle w:val="TableParagraph"/>
              <w:ind w:right="248"/>
            </w:pPr>
            <w:r>
              <w:t xml:space="preserve">(1) Safety performance monitoring and measurement should be the processes by which the safety performance of the organisation is verified in comparison with the safety policy and the safety objectives. </w:t>
            </w:r>
          </w:p>
          <w:p w14:paraId="06DD3E1F" w14:textId="77777777" w:rsidR="00D62888" w:rsidRDefault="00D62888">
            <w:pPr>
              <w:pStyle w:val="TableParagraph"/>
              <w:ind w:right="248"/>
            </w:pPr>
          </w:p>
          <w:p w14:paraId="28DE3E31" w14:textId="77777777" w:rsidR="003A06A9" w:rsidRDefault="003A06A9">
            <w:pPr>
              <w:pStyle w:val="TableParagraph"/>
              <w:ind w:right="248"/>
            </w:pPr>
            <w:r>
              <w:t xml:space="preserve">(2) These processes may include, as appropriate to the size, </w:t>
            </w:r>
            <w:proofErr w:type="gramStart"/>
            <w:r>
              <w:t>nature</w:t>
            </w:r>
            <w:proofErr w:type="gramEnd"/>
            <w:r>
              <w:t xml:space="preserve"> and complexity of the organisation: </w:t>
            </w:r>
          </w:p>
          <w:p w14:paraId="027A2DE2" w14:textId="77777777" w:rsidR="00D62888" w:rsidRDefault="00D62888">
            <w:pPr>
              <w:pStyle w:val="TableParagraph"/>
              <w:ind w:right="248"/>
            </w:pPr>
          </w:p>
          <w:p w14:paraId="5AA47BAA" w14:textId="77777777" w:rsidR="003A06A9" w:rsidRDefault="003A06A9">
            <w:pPr>
              <w:pStyle w:val="TableParagraph"/>
              <w:ind w:right="248"/>
            </w:pPr>
            <w:r>
              <w:t>(</w:t>
            </w:r>
            <w:proofErr w:type="spellStart"/>
            <w:r>
              <w:t>i</w:t>
            </w:r>
            <w:proofErr w:type="spellEnd"/>
            <w:r>
              <w:t xml:space="preserve">) safety reporting, which may also address the status of compliance with the applicable </w:t>
            </w:r>
            <w:proofErr w:type="gramStart"/>
            <w:r>
              <w:t>requirements;</w:t>
            </w:r>
            <w:proofErr w:type="gramEnd"/>
            <w:r>
              <w:t xml:space="preserve"> </w:t>
            </w:r>
          </w:p>
          <w:p w14:paraId="1ECAE9A5" w14:textId="77777777" w:rsidR="00D62888" w:rsidRDefault="00D62888">
            <w:pPr>
              <w:pStyle w:val="TableParagraph"/>
              <w:ind w:right="248"/>
            </w:pPr>
          </w:p>
          <w:p w14:paraId="5CF38E18" w14:textId="77777777" w:rsidR="00D62888" w:rsidRDefault="003A06A9">
            <w:pPr>
              <w:pStyle w:val="TableParagraph"/>
              <w:ind w:right="248"/>
            </w:pPr>
            <w:r>
              <w:t xml:space="preserve">(ii) safety reviews, including trend reviews, which would be conducted during the introduction of new products and their components, new equipment/technologies, the implementation of new or changed procedures, or in situations of organisational changes that may have an impact on </w:t>
            </w:r>
            <w:proofErr w:type="gramStart"/>
            <w:r>
              <w:t>safety;</w:t>
            </w:r>
            <w:proofErr w:type="gramEnd"/>
            <w:r>
              <w:t xml:space="preserve"> </w:t>
            </w:r>
          </w:p>
          <w:p w14:paraId="227C150F" w14:textId="77777777" w:rsidR="00D62888" w:rsidRDefault="00D62888">
            <w:pPr>
              <w:pStyle w:val="TableParagraph"/>
              <w:ind w:right="248"/>
            </w:pPr>
          </w:p>
          <w:p w14:paraId="01639DAE" w14:textId="77777777" w:rsidR="00D62888" w:rsidRDefault="00D62888">
            <w:pPr>
              <w:pStyle w:val="TableParagraph"/>
              <w:ind w:right="248"/>
            </w:pPr>
          </w:p>
          <w:p w14:paraId="0BBC4690" w14:textId="0D409367" w:rsidR="003A06A9" w:rsidRDefault="003A06A9">
            <w:pPr>
              <w:pStyle w:val="TableParagraph"/>
              <w:ind w:right="248"/>
            </w:pPr>
            <w:r>
              <w:lastRenderedPageBreak/>
              <w:t xml:space="preserve">(iii) safety audits that focus on the integrity of the organisation’s management system, and on periodically assessing the status of safety risk </w:t>
            </w:r>
            <w:proofErr w:type="gramStart"/>
            <w:r>
              <w:t>controls;</w:t>
            </w:r>
            <w:proofErr w:type="gramEnd"/>
            <w:r>
              <w:t xml:space="preserve"> </w:t>
            </w:r>
          </w:p>
          <w:p w14:paraId="7D4215CF" w14:textId="77777777" w:rsidR="00D62888" w:rsidRDefault="00D62888">
            <w:pPr>
              <w:pStyle w:val="TableParagraph"/>
              <w:ind w:right="248"/>
            </w:pPr>
          </w:p>
          <w:p w14:paraId="7CFD5FD0" w14:textId="77777777" w:rsidR="003A06A9" w:rsidRDefault="003A06A9">
            <w:pPr>
              <w:pStyle w:val="TableParagraph"/>
              <w:ind w:right="248"/>
            </w:pPr>
            <w:r>
              <w:t xml:space="preserve">(iv) safety surveys, examining </w:t>
            </w:r>
            <w:proofErr w:type="gramStart"/>
            <w:r>
              <w:t>particular elements</w:t>
            </w:r>
            <w:proofErr w:type="gramEnd"/>
            <w:r>
              <w:t xml:space="preserve"> or procedures in a specific area, such as identified problem areas, or bottlenecks in daily maintenance activities, perceptions and opinions of maintenance management personnel, and areas of dissent or confusion; and </w:t>
            </w:r>
          </w:p>
          <w:p w14:paraId="4DC8EB5B" w14:textId="77777777" w:rsidR="00D62888" w:rsidRDefault="00D62888">
            <w:pPr>
              <w:pStyle w:val="TableParagraph"/>
              <w:ind w:right="248"/>
            </w:pPr>
          </w:p>
          <w:p w14:paraId="1868CC75" w14:textId="2FF9F287" w:rsidR="003A06A9" w:rsidRDefault="003A06A9">
            <w:pPr>
              <w:pStyle w:val="TableParagraph"/>
              <w:ind w:right="248"/>
            </w:pPr>
            <w:r>
              <w:t xml:space="preserve">(v) other indicators relevant to safety performance, which may be generated by automated means. </w:t>
            </w:r>
          </w:p>
          <w:p w14:paraId="30AE5485" w14:textId="77777777" w:rsidR="003A06A9" w:rsidRDefault="003A06A9">
            <w:pPr>
              <w:pStyle w:val="TableParagraph"/>
              <w:ind w:right="248"/>
            </w:pPr>
          </w:p>
          <w:p w14:paraId="1E05ED71" w14:textId="77777777" w:rsidR="00D62888" w:rsidRDefault="003A06A9">
            <w:pPr>
              <w:pStyle w:val="TableParagraph"/>
              <w:ind w:right="248"/>
            </w:pPr>
            <w:r>
              <w:t xml:space="preserve">e) Management of change Changes may introduce new hazards or threaten existing safety risk controls. </w:t>
            </w:r>
          </w:p>
          <w:p w14:paraId="244870E9" w14:textId="77777777" w:rsidR="00D62888" w:rsidRDefault="00D62888">
            <w:pPr>
              <w:pStyle w:val="TableParagraph"/>
              <w:ind w:right="248"/>
            </w:pPr>
          </w:p>
          <w:p w14:paraId="1F80222E" w14:textId="77777777" w:rsidR="00D62888" w:rsidRDefault="003A06A9" w:rsidP="00D62888">
            <w:pPr>
              <w:pStyle w:val="TableParagraph"/>
              <w:numPr>
                <w:ilvl w:val="0"/>
                <w:numId w:val="35"/>
              </w:numPr>
              <w:ind w:right="248"/>
            </w:pPr>
            <w:r>
              <w:t xml:space="preserve">The management of change should be a documented process established by the organisation to identify external and internal changes that may have an adverse effect on the safety of its maintenance activities. </w:t>
            </w:r>
          </w:p>
          <w:p w14:paraId="59E4DBF0" w14:textId="3A1A56C9" w:rsidR="003A06A9" w:rsidRDefault="003A06A9" w:rsidP="00D62888">
            <w:pPr>
              <w:pStyle w:val="TableParagraph"/>
              <w:numPr>
                <w:ilvl w:val="0"/>
                <w:numId w:val="35"/>
              </w:numPr>
              <w:ind w:right="248"/>
            </w:pPr>
            <w:r>
              <w:t xml:space="preserve">It should make use of the organisation’s existing hazard identification, risk assessment and mitigation processes. </w:t>
            </w:r>
          </w:p>
          <w:p w14:paraId="2B932E2E" w14:textId="77777777" w:rsidR="003A06A9" w:rsidRDefault="003A06A9">
            <w:pPr>
              <w:pStyle w:val="TableParagraph"/>
              <w:ind w:right="248"/>
            </w:pPr>
          </w:p>
          <w:p w14:paraId="1039E1CA" w14:textId="77777777" w:rsidR="00D62888" w:rsidRDefault="003A06A9">
            <w:pPr>
              <w:pStyle w:val="TableParagraph"/>
              <w:ind w:right="248"/>
            </w:pPr>
            <w:r>
              <w:t xml:space="preserve">(f) Continuous improvement </w:t>
            </w:r>
            <w:proofErr w:type="gramStart"/>
            <w:r>
              <w:t>The</w:t>
            </w:r>
            <w:proofErr w:type="gramEnd"/>
            <w:r>
              <w:t xml:space="preserve"> organisation should continuously seek to improve its safety performance and the effectiveness of its management system. </w:t>
            </w:r>
          </w:p>
          <w:p w14:paraId="322B6A77" w14:textId="77777777" w:rsidR="00D62888" w:rsidRDefault="00D62888">
            <w:pPr>
              <w:pStyle w:val="TableParagraph"/>
              <w:ind w:right="248"/>
            </w:pPr>
          </w:p>
          <w:p w14:paraId="0F1E6CE2" w14:textId="1797B5F0" w:rsidR="003A06A9" w:rsidRDefault="003A06A9">
            <w:pPr>
              <w:pStyle w:val="TableParagraph"/>
              <w:ind w:right="248"/>
            </w:pPr>
            <w:r>
              <w:t xml:space="preserve">Continuous improvement may be achieved through: </w:t>
            </w:r>
          </w:p>
          <w:p w14:paraId="120108CF" w14:textId="77777777" w:rsidR="00D62888" w:rsidRDefault="00D62888">
            <w:pPr>
              <w:pStyle w:val="TableParagraph"/>
              <w:ind w:right="248"/>
            </w:pPr>
          </w:p>
          <w:p w14:paraId="79515FC1" w14:textId="214A98DD" w:rsidR="003A06A9" w:rsidRDefault="00D62888" w:rsidP="00D62888">
            <w:pPr>
              <w:pStyle w:val="TableParagraph"/>
              <w:numPr>
                <w:ilvl w:val="0"/>
                <w:numId w:val="36"/>
              </w:numPr>
              <w:ind w:right="248"/>
            </w:pPr>
            <w:r>
              <w:t>A</w:t>
            </w:r>
            <w:r w:rsidR="003A06A9">
              <w:t xml:space="preserve">udits carried out by external </w:t>
            </w:r>
            <w:proofErr w:type="gramStart"/>
            <w:r w:rsidR="003A06A9">
              <w:t>organisations;</w:t>
            </w:r>
            <w:proofErr w:type="gramEnd"/>
            <w:r w:rsidR="003A06A9">
              <w:t xml:space="preserve"> </w:t>
            </w:r>
          </w:p>
          <w:p w14:paraId="66BE6F9E" w14:textId="65E90C26" w:rsidR="003A06A9" w:rsidRDefault="00D62888" w:rsidP="00D62888">
            <w:pPr>
              <w:pStyle w:val="TableParagraph"/>
              <w:numPr>
                <w:ilvl w:val="0"/>
                <w:numId w:val="36"/>
              </w:numPr>
              <w:ind w:right="248"/>
            </w:pPr>
            <w:r>
              <w:t>A</w:t>
            </w:r>
            <w:r w:rsidR="003A06A9">
              <w:t xml:space="preserve">ssessments, including assessments of the effectiveness of the safety culture and management system, in particular to assess the effectiveness of the safety risk management </w:t>
            </w:r>
            <w:proofErr w:type="gramStart"/>
            <w:r w:rsidR="003A06A9">
              <w:t>processes;</w:t>
            </w:r>
            <w:proofErr w:type="gramEnd"/>
            <w:r w:rsidR="003A06A9">
              <w:t xml:space="preserve"> </w:t>
            </w:r>
          </w:p>
          <w:p w14:paraId="7A97A867" w14:textId="3879E9AE" w:rsidR="003A06A9" w:rsidRDefault="00D62888" w:rsidP="00D62888">
            <w:pPr>
              <w:pStyle w:val="TableParagraph"/>
              <w:numPr>
                <w:ilvl w:val="0"/>
                <w:numId w:val="36"/>
              </w:numPr>
              <w:ind w:right="248"/>
            </w:pPr>
            <w:r>
              <w:t>S</w:t>
            </w:r>
            <w:r w:rsidR="003A06A9">
              <w:t xml:space="preserve">taff surveys, including cultural surveys, that can provide useful feedback on how engaged personnel are with the management </w:t>
            </w:r>
            <w:proofErr w:type="gramStart"/>
            <w:r w:rsidR="003A06A9">
              <w:t>system;</w:t>
            </w:r>
            <w:proofErr w:type="gramEnd"/>
            <w:r w:rsidR="003A06A9">
              <w:t xml:space="preserve"> </w:t>
            </w:r>
          </w:p>
          <w:p w14:paraId="3C644810" w14:textId="7087FE19" w:rsidR="003A06A9" w:rsidRDefault="00D62888" w:rsidP="00D62888">
            <w:pPr>
              <w:pStyle w:val="TableParagraph"/>
              <w:numPr>
                <w:ilvl w:val="0"/>
                <w:numId w:val="36"/>
              </w:numPr>
              <w:ind w:right="248"/>
            </w:pPr>
            <w:r>
              <w:t>M</w:t>
            </w:r>
            <w:r w:rsidR="003A06A9">
              <w:t xml:space="preserve">onitoring the recurrence of incidents and </w:t>
            </w:r>
            <w:proofErr w:type="gramStart"/>
            <w:r w:rsidR="003A06A9">
              <w:t>occurrences;</w:t>
            </w:r>
            <w:proofErr w:type="gramEnd"/>
            <w:r w:rsidR="003A06A9">
              <w:t xml:space="preserve"> </w:t>
            </w:r>
          </w:p>
          <w:p w14:paraId="60CE4DBE" w14:textId="2CAEB77B" w:rsidR="003A06A9" w:rsidRDefault="00D62888" w:rsidP="00D62888">
            <w:pPr>
              <w:pStyle w:val="TableParagraph"/>
              <w:numPr>
                <w:ilvl w:val="0"/>
                <w:numId w:val="36"/>
              </w:numPr>
              <w:ind w:right="248"/>
            </w:pPr>
            <w:r>
              <w:t>E</w:t>
            </w:r>
            <w:r w:rsidR="003A06A9">
              <w:t xml:space="preserve">valuation of safety performance indicators and reviews of all the available safety performance information; and </w:t>
            </w:r>
          </w:p>
          <w:p w14:paraId="5F7AEB98" w14:textId="31240F25" w:rsidR="003A06A9" w:rsidRDefault="00D62888" w:rsidP="00D62888">
            <w:pPr>
              <w:pStyle w:val="TableParagraph"/>
              <w:numPr>
                <w:ilvl w:val="0"/>
                <w:numId w:val="36"/>
              </w:numPr>
              <w:ind w:right="248"/>
            </w:pPr>
            <w:r>
              <w:t>T</w:t>
            </w:r>
            <w:r w:rsidR="003A06A9">
              <w:t>he identification of lessons learned.</w:t>
            </w:r>
          </w:p>
          <w:p w14:paraId="4E078430" w14:textId="77777777" w:rsidR="003A06A9" w:rsidRDefault="003A06A9" w:rsidP="003A06A9">
            <w:pPr>
              <w:pStyle w:val="TableParagraph"/>
              <w:ind w:right="248"/>
            </w:pPr>
          </w:p>
          <w:p w14:paraId="5A9EAED5" w14:textId="77777777" w:rsidR="003A06A9" w:rsidRDefault="003A06A9" w:rsidP="003A06A9">
            <w:pPr>
              <w:pStyle w:val="TableParagraph"/>
              <w:ind w:right="248"/>
            </w:pPr>
            <w:r>
              <w:t xml:space="preserve">(g) Immediate safety action and coordination with the operator’s Emergency Response Plan (ERP) </w:t>
            </w:r>
          </w:p>
          <w:p w14:paraId="0D641F28" w14:textId="77777777" w:rsidR="00D62888" w:rsidRDefault="00D62888" w:rsidP="003A06A9">
            <w:pPr>
              <w:pStyle w:val="TableParagraph"/>
              <w:ind w:right="248"/>
            </w:pPr>
          </w:p>
          <w:p w14:paraId="469DC114" w14:textId="01D02511" w:rsidR="00D62888" w:rsidRDefault="003A06A9" w:rsidP="00D62888">
            <w:pPr>
              <w:pStyle w:val="TableParagraph"/>
              <w:numPr>
                <w:ilvl w:val="2"/>
                <w:numId w:val="37"/>
              </w:numPr>
              <w:ind w:left="1080" w:right="248"/>
            </w:pPr>
            <w:r>
              <w:t>Procedures should be implemented that enable the organisation to act promptly when it identifies safety concerns with the potential to have an immediate effect on flight safety, including clear instructions on who to contact at the owner/operator/CAMO, and how to contact them, including outside of normal business hours. These provisions are without prejudice to the occurrence reporting required by point 145.A.60.</w:t>
            </w:r>
          </w:p>
          <w:p w14:paraId="3F895AAB" w14:textId="292ABC6B" w:rsidR="003A06A9" w:rsidRDefault="003A06A9" w:rsidP="00D62888">
            <w:pPr>
              <w:pStyle w:val="TableParagraph"/>
              <w:ind w:left="-1080" w:right="248" w:firstLine="60"/>
            </w:pPr>
          </w:p>
          <w:p w14:paraId="20AFF3EB" w14:textId="678B1409" w:rsidR="003A06A9" w:rsidRDefault="003A06A9" w:rsidP="00D62888">
            <w:pPr>
              <w:pStyle w:val="TableParagraph"/>
              <w:numPr>
                <w:ilvl w:val="2"/>
                <w:numId w:val="37"/>
              </w:numPr>
              <w:ind w:left="1080" w:right="248"/>
            </w:pPr>
            <w:r>
              <w:t>If applicable, procedures should be implemented to enable the organisation to react promptly if the ERP is triggered by the operator and it requires the support of the Part-145 organisation.</w:t>
            </w:r>
          </w:p>
          <w:p w14:paraId="23BA2DDA" w14:textId="14A60137" w:rsidR="003A06A9" w:rsidRPr="003A06A9" w:rsidRDefault="003A06A9" w:rsidP="003A06A9">
            <w:pPr>
              <w:pStyle w:val="TableParagraph"/>
              <w:ind w:right="248"/>
            </w:pPr>
          </w:p>
        </w:tc>
        <w:tc>
          <w:tcPr>
            <w:tcW w:w="4203" w:type="dxa"/>
          </w:tcPr>
          <w:p w14:paraId="387DCDC7" w14:textId="77777777" w:rsidR="00C518C8" w:rsidRDefault="00C518C8">
            <w:pPr>
              <w:pStyle w:val="TableParagraph"/>
              <w:ind w:left="0"/>
              <w:rPr>
                <w:rFonts w:ascii="Times New Roman"/>
                <w:sz w:val="24"/>
              </w:rPr>
            </w:pPr>
          </w:p>
        </w:tc>
      </w:tr>
      <w:tr w:rsidR="00C518C8" w14:paraId="14E18F80" w14:textId="77777777">
        <w:trPr>
          <w:trHeight w:val="1379"/>
        </w:trPr>
        <w:tc>
          <w:tcPr>
            <w:tcW w:w="4815" w:type="dxa"/>
          </w:tcPr>
          <w:p w14:paraId="29D8113E" w14:textId="77777777" w:rsidR="003A06A9" w:rsidRDefault="003A06A9">
            <w:pPr>
              <w:pStyle w:val="TableParagraph"/>
              <w:ind w:right="248"/>
            </w:pPr>
            <w:r w:rsidRPr="003A06A9">
              <w:rPr>
                <w:b/>
                <w:bCs/>
              </w:rPr>
              <w:lastRenderedPageBreak/>
              <w:t>GM1 145.A.200(a)(3) Management system</w:t>
            </w:r>
            <w:r>
              <w:t xml:space="preserve"> ED Decision 2022/011/R </w:t>
            </w:r>
          </w:p>
          <w:p w14:paraId="461577F8" w14:textId="77777777" w:rsidR="003A06A9" w:rsidRDefault="003A06A9">
            <w:pPr>
              <w:pStyle w:val="TableParagraph"/>
              <w:ind w:right="248"/>
            </w:pPr>
          </w:p>
          <w:p w14:paraId="525712C3" w14:textId="77777777" w:rsidR="00E744B8" w:rsidRDefault="003A06A9">
            <w:pPr>
              <w:pStyle w:val="TableParagraph"/>
              <w:ind w:right="248"/>
            </w:pPr>
            <w:r>
              <w:t xml:space="preserve">SAFETY RISK MANAGEMENT — INTERFACES BETWEEN ORGANISATIONS </w:t>
            </w:r>
          </w:p>
          <w:p w14:paraId="17EA4C8C" w14:textId="77777777" w:rsidR="00E744B8" w:rsidRDefault="00E744B8">
            <w:pPr>
              <w:pStyle w:val="TableParagraph"/>
              <w:ind w:right="248"/>
            </w:pPr>
          </w:p>
          <w:p w14:paraId="1437E955" w14:textId="73B4CBFA" w:rsidR="003A06A9" w:rsidRDefault="003A06A9">
            <w:pPr>
              <w:pStyle w:val="TableParagraph"/>
              <w:ind w:right="248"/>
            </w:pPr>
            <w:r>
              <w:t xml:space="preserve">(a) Safety risk management processes should specifically address the planned implementation of, or participation of the organisation in, complex operational and maintenance arrangements (such as when multiple organisations are contracted, or when multiple levels </w:t>
            </w:r>
            <w:proofErr w:type="gramStart"/>
            <w:r>
              <w:t xml:space="preserve">of </w:t>
            </w:r>
            <w:r w:rsidR="00E744B8">
              <w:t xml:space="preserve"> </w:t>
            </w:r>
            <w:r>
              <w:t>contracting</w:t>
            </w:r>
            <w:proofErr w:type="gramEnd"/>
            <w:r w:rsidR="00E744B8">
              <w:t xml:space="preserve"> </w:t>
            </w:r>
            <w:r>
              <w:t>/</w:t>
            </w:r>
            <w:r w:rsidR="00E744B8">
              <w:t xml:space="preserve"> </w:t>
            </w:r>
            <w:r>
              <w:t xml:space="preserve">subcontracting are included). </w:t>
            </w:r>
          </w:p>
          <w:p w14:paraId="3875AF23" w14:textId="77777777" w:rsidR="003A06A9" w:rsidRDefault="003A06A9">
            <w:pPr>
              <w:pStyle w:val="TableParagraph"/>
              <w:ind w:right="248"/>
            </w:pPr>
          </w:p>
          <w:p w14:paraId="3DDA443A" w14:textId="77777777" w:rsidR="00E744B8" w:rsidRDefault="003A06A9">
            <w:pPr>
              <w:pStyle w:val="TableParagraph"/>
              <w:ind w:right="248"/>
            </w:pPr>
            <w:r>
              <w:t xml:space="preserve">(b) Hazard identification and risk assessment start with the identification of all the parties involved in the arrangement, including independent experts and non-approved organisations. </w:t>
            </w:r>
          </w:p>
          <w:p w14:paraId="12F01AE4" w14:textId="77777777" w:rsidR="00E744B8" w:rsidRDefault="00E744B8">
            <w:pPr>
              <w:pStyle w:val="TableParagraph"/>
              <w:ind w:right="248"/>
            </w:pPr>
          </w:p>
          <w:p w14:paraId="650CB8B7" w14:textId="797830AB" w:rsidR="003A06A9" w:rsidRDefault="003A06A9">
            <w:pPr>
              <w:pStyle w:val="TableParagraph"/>
              <w:ind w:right="248"/>
            </w:pPr>
            <w:r>
              <w:t xml:space="preserve">This identification process extends to cover the overall control structure, and assesses </w:t>
            </w:r>
            <w:proofErr w:type="gramStart"/>
            <w:r>
              <w:t>in particular the</w:t>
            </w:r>
            <w:proofErr w:type="gramEnd"/>
            <w:r>
              <w:t xml:space="preserve"> following elements across all subcontract levels and all parties within such arrangements: </w:t>
            </w:r>
          </w:p>
          <w:p w14:paraId="7A13F79F" w14:textId="77777777" w:rsidR="00E744B8" w:rsidRDefault="00E744B8">
            <w:pPr>
              <w:pStyle w:val="TableParagraph"/>
              <w:ind w:right="248"/>
            </w:pPr>
          </w:p>
          <w:p w14:paraId="7B6AE27A" w14:textId="0F3F9D75" w:rsidR="003A06A9" w:rsidRDefault="003A06A9" w:rsidP="00E744B8">
            <w:pPr>
              <w:pStyle w:val="TableParagraph"/>
              <w:numPr>
                <w:ilvl w:val="0"/>
                <w:numId w:val="38"/>
              </w:numPr>
              <w:ind w:right="248"/>
            </w:pPr>
            <w:r>
              <w:t xml:space="preserve">coordination and interfaces between the different </w:t>
            </w:r>
            <w:proofErr w:type="gramStart"/>
            <w:r>
              <w:t>parties;</w:t>
            </w:r>
            <w:proofErr w:type="gramEnd"/>
            <w:r>
              <w:t xml:space="preserve"> </w:t>
            </w:r>
          </w:p>
          <w:p w14:paraId="3A84B607" w14:textId="77777777" w:rsidR="00567644" w:rsidRDefault="00567644" w:rsidP="00567644">
            <w:pPr>
              <w:pStyle w:val="TableParagraph"/>
              <w:ind w:left="827" w:right="248"/>
            </w:pPr>
          </w:p>
          <w:p w14:paraId="061375F4" w14:textId="16885744" w:rsidR="003A06A9" w:rsidRDefault="003A06A9" w:rsidP="00E744B8">
            <w:pPr>
              <w:pStyle w:val="TableParagraph"/>
              <w:numPr>
                <w:ilvl w:val="0"/>
                <w:numId w:val="38"/>
              </w:numPr>
              <w:ind w:right="248"/>
            </w:pPr>
            <w:r>
              <w:t xml:space="preserve">applicable </w:t>
            </w:r>
            <w:proofErr w:type="gramStart"/>
            <w:r>
              <w:t>procedures;</w:t>
            </w:r>
            <w:proofErr w:type="gramEnd"/>
            <w:r>
              <w:t xml:space="preserve"> </w:t>
            </w:r>
          </w:p>
          <w:p w14:paraId="558565D0" w14:textId="77777777" w:rsidR="00567644" w:rsidRDefault="00567644" w:rsidP="00567644">
            <w:pPr>
              <w:pStyle w:val="ListParagraph"/>
            </w:pPr>
          </w:p>
          <w:p w14:paraId="346D05D4" w14:textId="77777777" w:rsidR="00567644" w:rsidRDefault="00567644" w:rsidP="00567644">
            <w:pPr>
              <w:pStyle w:val="TableParagraph"/>
              <w:ind w:left="827" w:right="248"/>
            </w:pPr>
          </w:p>
          <w:p w14:paraId="394C865B" w14:textId="0788834E" w:rsidR="003A06A9" w:rsidRDefault="003A06A9" w:rsidP="00E744B8">
            <w:pPr>
              <w:pStyle w:val="TableParagraph"/>
              <w:numPr>
                <w:ilvl w:val="0"/>
                <w:numId w:val="38"/>
              </w:numPr>
              <w:ind w:right="248"/>
            </w:pPr>
            <w:r>
              <w:lastRenderedPageBreak/>
              <w:t xml:space="preserve">communication between all the parties involved, including reporting and feedback </w:t>
            </w:r>
            <w:proofErr w:type="gramStart"/>
            <w:r>
              <w:t>channels;</w:t>
            </w:r>
            <w:proofErr w:type="gramEnd"/>
            <w:r>
              <w:t xml:space="preserve"> </w:t>
            </w:r>
          </w:p>
          <w:p w14:paraId="01B7A17A" w14:textId="77777777" w:rsidR="00567644" w:rsidRDefault="00567644" w:rsidP="00567644">
            <w:pPr>
              <w:pStyle w:val="TableParagraph"/>
              <w:ind w:left="827" w:right="248"/>
            </w:pPr>
          </w:p>
          <w:p w14:paraId="5802EDAF" w14:textId="1B21F246" w:rsidR="003A06A9" w:rsidRDefault="003A06A9" w:rsidP="00E744B8">
            <w:pPr>
              <w:pStyle w:val="TableParagraph"/>
              <w:numPr>
                <w:ilvl w:val="0"/>
                <w:numId w:val="38"/>
              </w:numPr>
              <w:ind w:right="248"/>
            </w:pPr>
            <w:r>
              <w:t xml:space="preserve">task allocation, </w:t>
            </w:r>
            <w:proofErr w:type="gramStart"/>
            <w:r>
              <w:t>responsibilities</w:t>
            </w:r>
            <w:proofErr w:type="gramEnd"/>
            <w:r>
              <w:t xml:space="preserve"> and authorities; and </w:t>
            </w:r>
          </w:p>
          <w:p w14:paraId="32A2D242" w14:textId="77777777" w:rsidR="00567644" w:rsidRDefault="00567644" w:rsidP="00567644">
            <w:pPr>
              <w:pStyle w:val="ListParagraph"/>
            </w:pPr>
          </w:p>
          <w:p w14:paraId="5B90CE3D" w14:textId="00581DFB" w:rsidR="003A06A9" w:rsidRDefault="003A06A9" w:rsidP="00E744B8">
            <w:pPr>
              <w:pStyle w:val="TableParagraph"/>
              <w:numPr>
                <w:ilvl w:val="0"/>
                <w:numId w:val="38"/>
              </w:numPr>
              <w:ind w:right="248"/>
            </w:pPr>
            <w:r>
              <w:t xml:space="preserve">the qualifications and competency of key personnel with reference to point 145.A.30. </w:t>
            </w:r>
          </w:p>
          <w:p w14:paraId="36B09CB6" w14:textId="77777777" w:rsidR="003A06A9" w:rsidRDefault="003A06A9">
            <w:pPr>
              <w:pStyle w:val="TableParagraph"/>
              <w:ind w:right="248"/>
            </w:pPr>
          </w:p>
          <w:p w14:paraId="26ADD6BC" w14:textId="77777777" w:rsidR="003A06A9" w:rsidRDefault="003A06A9">
            <w:pPr>
              <w:pStyle w:val="TableParagraph"/>
              <w:ind w:right="248"/>
            </w:pPr>
            <w:r>
              <w:t xml:space="preserve">(c) Safety risk management should focus on ensuring the following aspects: </w:t>
            </w:r>
          </w:p>
          <w:p w14:paraId="750AA95D" w14:textId="77777777" w:rsidR="00567644" w:rsidRDefault="00567644">
            <w:pPr>
              <w:pStyle w:val="TableParagraph"/>
              <w:ind w:right="248"/>
            </w:pPr>
          </w:p>
          <w:p w14:paraId="6EDCA9F2" w14:textId="77777777" w:rsidR="003A06A9" w:rsidRDefault="003A06A9" w:rsidP="00567644">
            <w:pPr>
              <w:pStyle w:val="TableParagraph"/>
              <w:ind w:left="422" w:right="248"/>
            </w:pPr>
            <w:r>
              <w:t xml:space="preserve">(1) clear assignment of accountability and allocation of </w:t>
            </w:r>
            <w:proofErr w:type="gramStart"/>
            <w:r>
              <w:t>responsibilities;</w:t>
            </w:r>
            <w:proofErr w:type="gramEnd"/>
            <w:r>
              <w:t xml:space="preserve"> </w:t>
            </w:r>
          </w:p>
          <w:p w14:paraId="511A824A" w14:textId="77777777" w:rsidR="00567644" w:rsidRDefault="00567644" w:rsidP="00567644">
            <w:pPr>
              <w:pStyle w:val="TableParagraph"/>
              <w:ind w:left="422" w:right="248"/>
            </w:pPr>
          </w:p>
          <w:p w14:paraId="54D5CF82" w14:textId="77777777" w:rsidR="003A06A9" w:rsidRDefault="003A06A9" w:rsidP="00567644">
            <w:pPr>
              <w:pStyle w:val="TableParagraph"/>
              <w:ind w:left="422" w:right="248"/>
            </w:pPr>
            <w:r>
              <w:t xml:space="preserve">(2) that only one party is responsible for a specific aspect of the arrangement, with no overlapping or conflicting responsibilities, in order to eliminate coordination </w:t>
            </w:r>
            <w:proofErr w:type="gramStart"/>
            <w:r>
              <w:t>errors;</w:t>
            </w:r>
            <w:proofErr w:type="gramEnd"/>
            <w:r>
              <w:t xml:space="preserve"> </w:t>
            </w:r>
          </w:p>
          <w:p w14:paraId="3D2559D0" w14:textId="77777777" w:rsidR="00567644" w:rsidRDefault="00567644" w:rsidP="00567644">
            <w:pPr>
              <w:pStyle w:val="TableParagraph"/>
              <w:ind w:left="422" w:right="248"/>
            </w:pPr>
          </w:p>
          <w:p w14:paraId="2CE1BA86" w14:textId="77777777" w:rsidR="003A06A9" w:rsidRDefault="003A06A9" w:rsidP="00567644">
            <w:pPr>
              <w:pStyle w:val="TableParagraph"/>
              <w:ind w:left="422" w:right="248"/>
            </w:pPr>
            <w:r>
              <w:t xml:space="preserve">(3) the existence of clear reporting lines, both for occurrence reporting and progress </w:t>
            </w:r>
            <w:proofErr w:type="gramStart"/>
            <w:r>
              <w:t>reporting;</w:t>
            </w:r>
            <w:proofErr w:type="gramEnd"/>
            <w:r>
              <w:t xml:space="preserve"> </w:t>
            </w:r>
          </w:p>
          <w:p w14:paraId="7D535066" w14:textId="77777777" w:rsidR="00567644" w:rsidRDefault="00567644" w:rsidP="00567644">
            <w:pPr>
              <w:pStyle w:val="TableParagraph"/>
              <w:ind w:left="422" w:right="248"/>
            </w:pPr>
          </w:p>
          <w:p w14:paraId="75E2D500" w14:textId="77777777" w:rsidR="008838C2" w:rsidRDefault="003A06A9" w:rsidP="00567644">
            <w:pPr>
              <w:pStyle w:val="TableParagraph"/>
              <w:ind w:left="422" w:right="248"/>
            </w:pPr>
            <w:r>
              <w:t xml:space="preserve">(4) the possibility for staff to directly notify the organisation of any hazard that suggests an obviously unacceptable safety risk </w:t>
            </w:r>
            <w:proofErr w:type="gramStart"/>
            <w:r>
              <w:t>as a result of</w:t>
            </w:r>
            <w:proofErr w:type="gramEnd"/>
            <w:r>
              <w:t xml:space="preserve"> the potential consequences of this hazard. </w:t>
            </w:r>
          </w:p>
          <w:p w14:paraId="4BA3F69B" w14:textId="77777777" w:rsidR="008838C2" w:rsidRDefault="008838C2">
            <w:pPr>
              <w:pStyle w:val="TableParagraph"/>
              <w:ind w:right="248"/>
            </w:pPr>
          </w:p>
          <w:p w14:paraId="62B5A40C" w14:textId="1A12506C" w:rsidR="00C518C8" w:rsidRPr="00567644" w:rsidRDefault="003A06A9">
            <w:pPr>
              <w:pStyle w:val="TableParagraph"/>
              <w:ind w:right="248"/>
              <w:rPr>
                <w:b/>
                <w:bCs/>
                <w:sz w:val="24"/>
              </w:rPr>
            </w:pPr>
            <w:r w:rsidRPr="00567644">
              <w:rPr>
                <w:b/>
                <w:bCs/>
                <w:highlight w:val="yellow"/>
              </w:rPr>
              <w:t>(d) The safety risk management processes should ensure that there is regular communication between all the parties involved to discuss work progress, risk mitigation actions, and changes to the arrangements, as well as any other significant issues.</w:t>
            </w:r>
          </w:p>
        </w:tc>
        <w:tc>
          <w:tcPr>
            <w:tcW w:w="4203" w:type="dxa"/>
          </w:tcPr>
          <w:p w14:paraId="6D634882" w14:textId="77777777" w:rsidR="00C518C8" w:rsidRDefault="00C518C8">
            <w:pPr>
              <w:pStyle w:val="TableParagraph"/>
              <w:ind w:left="0"/>
              <w:rPr>
                <w:rFonts w:ascii="Times New Roman"/>
                <w:sz w:val="24"/>
              </w:rPr>
            </w:pPr>
          </w:p>
        </w:tc>
      </w:tr>
      <w:tr w:rsidR="00C518C8" w14:paraId="35685C19" w14:textId="77777777">
        <w:trPr>
          <w:trHeight w:val="1379"/>
        </w:trPr>
        <w:tc>
          <w:tcPr>
            <w:tcW w:w="4815" w:type="dxa"/>
          </w:tcPr>
          <w:p w14:paraId="2652BE97" w14:textId="77777777" w:rsidR="008838C2" w:rsidRDefault="008838C2">
            <w:pPr>
              <w:pStyle w:val="TableParagraph"/>
              <w:ind w:right="248"/>
            </w:pPr>
            <w:r w:rsidRPr="008838C2">
              <w:rPr>
                <w:b/>
                <w:bCs/>
              </w:rPr>
              <w:t>GM2 145.A.200(a)(3) Management system</w:t>
            </w:r>
            <w:r>
              <w:t xml:space="preserve"> ED Decision 2022/011/R </w:t>
            </w:r>
          </w:p>
          <w:p w14:paraId="2A27A10E" w14:textId="77777777" w:rsidR="008838C2" w:rsidRDefault="008838C2">
            <w:pPr>
              <w:pStyle w:val="TableParagraph"/>
              <w:ind w:right="248"/>
            </w:pPr>
          </w:p>
          <w:p w14:paraId="1D2C3AD2" w14:textId="77777777" w:rsidR="008838C2" w:rsidRDefault="008838C2">
            <w:pPr>
              <w:pStyle w:val="TableParagraph"/>
              <w:ind w:right="248"/>
            </w:pPr>
            <w:r>
              <w:t xml:space="preserve">MANAGEMENT OF CHANGE </w:t>
            </w:r>
          </w:p>
          <w:p w14:paraId="605C54C2" w14:textId="77777777" w:rsidR="008838C2" w:rsidRDefault="008838C2">
            <w:pPr>
              <w:pStyle w:val="TableParagraph"/>
              <w:ind w:right="248"/>
            </w:pPr>
          </w:p>
          <w:p w14:paraId="31C67AA0" w14:textId="00404A0D" w:rsidR="008838C2" w:rsidRDefault="008838C2">
            <w:pPr>
              <w:pStyle w:val="TableParagraph"/>
              <w:ind w:right="248"/>
            </w:pPr>
            <w:r>
              <w:t xml:space="preserve">(a) Unless they are properly managed, changes in organisational structure, facilities, the scope of work, personnel, documentation, policies and procedures, etc. can result in the inadvertent introduction of new </w:t>
            </w:r>
            <w:proofErr w:type="gramStart"/>
            <w:r>
              <w:t>hazards, and</w:t>
            </w:r>
            <w:proofErr w:type="gramEnd"/>
            <w:r>
              <w:t xml:space="preserve"> expose the organisation to new or increased risks. </w:t>
            </w:r>
          </w:p>
          <w:p w14:paraId="0DB3159C" w14:textId="77777777" w:rsidR="008838C2" w:rsidRDefault="008838C2">
            <w:pPr>
              <w:pStyle w:val="TableParagraph"/>
              <w:ind w:right="248"/>
            </w:pPr>
          </w:p>
          <w:p w14:paraId="7AA863E3" w14:textId="77777777" w:rsidR="00567644" w:rsidRDefault="008838C2">
            <w:pPr>
              <w:pStyle w:val="TableParagraph"/>
              <w:ind w:right="248"/>
            </w:pPr>
            <w:r>
              <w:t xml:space="preserve">(b) Regardless of the magnitude of a change, large or small, its safety implications should always be proactively considered. This is primarily the responsibility of the team that proposes and/or implements the change. </w:t>
            </w:r>
          </w:p>
          <w:p w14:paraId="72A3DAEB" w14:textId="77777777" w:rsidR="00567644" w:rsidRDefault="00567644">
            <w:pPr>
              <w:pStyle w:val="TableParagraph"/>
              <w:ind w:right="248"/>
            </w:pPr>
          </w:p>
          <w:p w14:paraId="00F7DA0D" w14:textId="77777777" w:rsidR="00567644" w:rsidRDefault="00567644" w:rsidP="00567644">
            <w:pPr>
              <w:pStyle w:val="TableParagraph"/>
              <w:numPr>
                <w:ilvl w:val="0"/>
                <w:numId w:val="39"/>
              </w:numPr>
              <w:ind w:right="248"/>
            </w:pPr>
            <w:r>
              <w:lastRenderedPageBreak/>
              <w:t>A</w:t>
            </w:r>
            <w:r w:rsidR="008838C2">
              <w:t xml:space="preserve"> change can only be successfully implemented if all the personnel affected by the change are engaged, are </w:t>
            </w:r>
            <w:proofErr w:type="gramStart"/>
            <w:r w:rsidR="008838C2">
              <w:t>involved</w:t>
            </w:r>
            <w:proofErr w:type="gramEnd"/>
            <w:r w:rsidR="008838C2">
              <w:t xml:space="preserve"> and participate in the process. </w:t>
            </w:r>
          </w:p>
          <w:p w14:paraId="7F8E7A18" w14:textId="77777777" w:rsidR="00567644" w:rsidRDefault="00567644" w:rsidP="00567644">
            <w:pPr>
              <w:pStyle w:val="TableParagraph"/>
              <w:ind w:left="827" w:right="248"/>
            </w:pPr>
          </w:p>
          <w:p w14:paraId="76649769" w14:textId="794902A8" w:rsidR="008838C2" w:rsidRDefault="008838C2" w:rsidP="00567644">
            <w:pPr>
              <w:pStyle w:val="TableParagraph"/>
              <w:numPr>
                <w:ilvl w:val="0"/>
                <w:numId w:val="39"/>
              </w:numPr>
              <w:ind w:right="248"/>
            </w:pPr>
            <w:r>
              <w:t xml:space="preserve">The magnitude of a change, its safety criticality, and its potential impact on human performance should be assessed in any change management process. </w:t>
            </w:r>
          </w:p>
          <w:p w14:paraId="1AB419F9" w14:textId="77777777" w:rsidR="008838C2" w:rsidRDefault="008838C2">
            <w:pPr>
              <w:pStyle w:val="TableParagraph"/>
              <w:ind w:right="248"/>
            </w:pPr>
          </w:p>
          <w:p w14:paraId="44B1464E" w14:textId="77777777" w:rsidR="00567644" w:rsidRDefault="008838C2">
            <w:pPr>
              <w:pStyle w:val="TableParagraph"/>
              <w:ind w:right="248"/>
            </w:pPr>
            <w:r>
              <w:t xml:space="preserve">(c) The process for the management of change typically provides principles and a structured framework for managing all aspects of the change. </w:t>
            </w:r>
          </w:p>
          <w:p w14:paraId="216047A2" w14:textId="77777777" w:rsidR="00567644" w:rsidRDefault="00567644">
            <w:pPr>
              <w:pStyle w:val="TableParagraph"/>
              <w:ind w:right="248"/>
            </w:pPr>
          </w:p>
          <w:p w14:paraId="01D4CA85" w14:textId="5FE2F866" w:rsidR="008838C2" w:rsidRDefault="008838C2" w:rsidP="00567644">
            <w:pPr>
              <w:pStyle w:val="TableParagraph"/>
              <w:numPr>
                <w:ilvl w:val="0"/>
                <w:numId w:val="40"/>
              </w:numPr>
              <w:ind w:right="248"/>
            </w:pPr>
            <w:r>
              <w:t xml:space="preserve">Disciplined application of the management of change can </w:t>
            </w:r>
            <w:proofErr w:type="spellStart"/>
            <w:r>
              <w:t>maximise</w:t>
            </w:r>
            <w:proofErr w:type="spellEnd"/>
            <w:r>
              <w:t xml:space="preserve"> the effectiveness of the change, engage the staff, and </w:t>
            </w:r>
            <w:proofErr w:type="spellStart"/>
            <w:r>
              <w:t>minimise</w:t>
            </w:r>
            <w:proofErr w:type="spellEnd"/>
            <w:r>
              <w:t xml:space="preserve"> the risks that are inherent in a change. </w:t>
            </w:r>
          </w:p>
          <w:p w14:paraId="0DE6AB80" w14:textId="77777777" w:rsidR="008838C2" w:rsidRDefault="008838C2">
            <w:pPr>
              <w:pStyle w:val="TableParagraph"/>
              <w:ind w:right="248"/>
            </w:pPr>
          </w:p>
          <w:p w14:paraId="7D8AFCD9" w14:textId="77777777" w:rsidR="008838C2" w:rsidRDefault="008838C2">
            <w:pPr>
              <w:pStyle w:val="TableParagraph"/>
              <w:ind w:right="248"/>
            </w:pPr>
            <w:r>
              <w:t xml:space="preserve">(d) The introduction of a change is the trigger for the organisation to perform their hazard identification and risk management processes. Some examples of change include, but are not limited to: </w:t>
            </w:r>
          </w:p>
          <w:p w14:paraId="7058C2CE" w14:textId="77777777" w:rsidR="008838C2" w:rsidRDefault="008838C2">
            <w:pPr>
              <w:pStyle w:val="TableParagraph"/>
              <w:ind w:right="248"/>
            </w:pPr>
            <w:r>
              <w:t xml:space="preserve">(1) changes to the organisational structure; (2) the inclusion of a new aircraft type in the terms of </w:t>
            </w:r>
            <w:proofErr w:type="gramStart"/>
            <w:r>
              <w:t>approval;</w:t>
            </w:r>
            <w:proofErr w:type="gramEnd"/>
            <w:r>
              <w:t xml:space="preserve"> </w:t>
            </w:r>
          </w:p>
          <w:p w14:paraId="75706411" w14:textId="77777777" w:rsidR="008838C2" w:rsidRDefault="008838C2">
            <w:pPr>
              <w:pStyle w:val="TableParagraph"/>
              <w:ind w:right="248"/>
            </w:pPr>
            <w:r>
              <w:t xml:space="preserve">(3) the addition of aircraft of the same or a similar </w:t>
            </w:r>
            <w:proofErr w:type="gramStart"/>
            <w:r>
              <w:t>type;</w:t>
            </w:r>
            <w:proofErr w:type="gramEnd"/>
            <w:r>
              <w:t xml:space="preserve"> </w:t>
            </w:r>
          </w:p>
          <w:p w14:paraId="0953DE4C" w14:textId="77777777" w:rsidR="008838C2" w:rsidRDefault="008838C2">
            <w:pPr>
              <w:pStyle w:val="TableParagraph"/>
              <w:ind w:right="248"/>
            </w:pPr>
            <w:r>
              <w:t>(4) significant changes in personnel (affecting key personnel and/or large numbers of personnel, high turnover</w:t>
            </w:r>
            <w:proofErr w:type="gramStart"/>
            <w:r>
              <w:t>);</w:t>
            </w:r>
            <w:proofErr w:type="gramEnd"/>
            <w:r>
              <w:t xml:space="preserve"> </w:t>
            </w:r>
          </w:p>
          <w:p w14:paraId="66334413" w14:textId="77777777" w:rsidR="008838C2" w:rsidRDefault="008838C2">
            <w:pPr>
              <w:pStyle w:val="TableParagraph"/>
              <w:ind w:right="248"/>
            </w:pPr>
            <w:r>
              <w:t xml:space="preserve">(5) new or amended </w:t>
            </w:r>
            <w:proofErr w:type="gramStart"/>
            <w:r>
              <w:t>regulations;</w:t>
            </w:r>
            <w:proofErr w:type="gramEnd"/>
            <w:r>
              <w:t xml:space="preserve"> </w:t>
            </w:r>
          </w:p>
          <w:p w14:paraId="1C9720D4" w14:textId="77777777" w:rsidR="008838C2" w:rsidRDefault="008838C2">
            <w:pPr>
              <w:pStyle w:val="TableParagraph"/>
              <w:ind w:right="248"/>
            </w:pPr>
            <w:r>
              <w:t xml:space="preserve">(6) changes to the security </w:t>
            </w:r>
            <w:proofErr w:type="gramStart"/>
            <w:r>
              <w:t>arrangements;</w:t>
            </w:r>
            <w:proofErr w:type="gramEnd"/>
            <w:r>
              <w:t xml:space="preserve"> </w:t>
            </w:r>
          </w:p>
          <w:p w14:paraId="7CB804E7" w14:textId="77777777" w:rsidR="008838C2" w:rsidRDefault="008838C2">
            <w:pPr>
              <w:pStyle w:val="TableParagraph"/>
              <w:ind w:right="248"/>
            </w:pPr>
            <w:r>
              <w:t>(7) changes in the economic situation of an organisation (</w:t>
            </w:r>
            <w:proofErr w:type="gramStart"/>
            <w:r>
              <w:t>e.g.</w:t>
            </w:r>
            <w:proofErr w:type="gramEnd"/>
            <w:r>
              <w:t xml:space="preserve"> commercial or financial pressure); </w:t>
            </w:r>
          </w:p>
          <w:p w14:paraId="501E828F" w14:textId="77777777" w:rsidR="008838C2" w:rsidRDefault="008838C2">
            <w:pPr>
              <w:pStyle w:val="TableParagraph"/>
              <w:ind w:right="248"/>
            </w:pPr>
            <w:r>
              <w:t xml:space="preserve">(8) new schedule(s), location(s), equipment, and/or operational procedures; and </w:t>
            </w:r>
          </w:p>
          <w:p w14:paraId="7BBA75A9" w14:textId="77777777" w:rsidR="008838C2" w:rsidRDefault="008838C2">
            <w:pPr>
              <w:pStyle w:val="TableParagraph"/>
              <w:ind w:right="248"/>
            </w:pPr>
            <w:r>
              <w:t xml:space="preserve">(9) the addition of new subcontractors. </w:t>
            </w:r>
          </w:p>
          <w:p w14:paraId="3FB03432" w14:textId="77777777" w:rsidR="008838C2" w:rsidRDefault="008838C2">
            <w:pPr>
              <w:pStyle w:val="TableParagraph"/>
              <w:ind w:right="248"/>
            </w:pPr>
          </w:p>
          <w:p w14:paraId="4F276C0C" w14:textId="77777777" w:rsidR="008838C2" w:rsidRDefault="008838C2" w:rsidP="008838C2">
            <w:pPr>
              <w:pStyle w:val="TableParagraph"/>
              <w:ind w:right="248"/>
            </w:pPr>
            <w:r>
              <w:t xml:space="preserve">(e) A change may have the potential to introduce new, or to exacerbate pre-existing, human factors issues. For example, changes in computer systems, equipment, technology, personnel changes, including changes in management personnel, procedures, work organisation, or work processes are likely to affect performance. </w:t>
            </w:r>
          </w:p>
          <w:p w14:paraId="04C02C5C" w14:textId="77777777" w:rsidR="008838C2" w:rsidRDefault="008838C2" w:rsidP="008838C2">
            <w:pPr>
              <w:pStyle w:val="TableParagraph"/>
              <w:ind w:right="248"/>
            </w:pPr>
          </w:p>
          <w:p w14:paraId="1C575808" w14:textId="3BD8C89B" w:rsidR="00C518C8" w:rsidRDefault="008838C2" w:rsidP="008838C2">
            <w:pPr>
              <w:pStyle w:val="TableParagraph"/>
              <w:ind w:right="248"/>
            </w:pPr>
            <w:r>
              <w:t xml:space="preserve">(f)The purpose of integrating human factors (HF) into the management of change is to </w:t>
            </w:r>
            <w:proofErr w:type="spellStart"/>
            <w:r>
              <w:t>minimise</w:t>
            </w:r>
            <w:proofErr w:type="spellEnd"/>
            <w:r>
              <w:t xml:space="preserve"> potential risks by specifically considering the impact of the change on the people within a system.</w:t>
            </w:r>
          </w:p>
          <w:p w14:paraId="1011B15D" w14:textId="77777777" w:rsidR="008838C2" w:rsidRDefault="008838C2" w:rsidP="008838C2">
            <w:pPr>
              <w:pStyle w:val="TableParagraph"/>
              <w:ind w:right="248"/>
            </w:pPr>
          </w:p>
          <w:p w14:paraId="47857379" w14:textId="77777777" w:rsidR="00111049" w:rsidRDefault="008838C2" w:rsidP="008838C2">
            <w:pPr>
              <w:pStyle w:val="TableParagraph"/>
              <w:ind w:right="248"/>
            </w:pPr>
            <w:r>
              <w:t xml:space="preserve">(g) Special consideration, including any HF issues, should be given to the ‘transition period’. </w:t>
            </w:r>
          </w:p>
          <w:p w14:paraId="0BE9606E" w14:textId="77777777" w:rsidR="00111049" w:rsidRDefault="00111049" w:rsidP="008838C2">
            <w:pPr>
              <w:pStyle w:val="TableParagraph"/>
              <w:ind w:right="248"/>
            </w:pPr>
          </w:p>
          <w:p w14:paraId="3295730C" w14:textId="65ABD3CE" w:rsidR="008838C2" w:rsidRDefault="008838C2" w:rsidP="00111049">
            <w:pPr>
              <w:pStyle w:val="TableParagraph"/>
              <w:numPr>
                <w:ilvl w:val="0"/>
                <w:numId w:val="40"/>
              </w:numPr>
              <w:ind w:right="248"/>
            </w:pPr>
            <w:r>
              <w:t xml:space="preserve">In addition, the activities </w:t>
            </w:r>
            <w:proofErr w:type="spellStart"/>
            <w:r>
              <w:t>utilised</w:t>
            </w:r>
            <w:proofErr w:type="spellEnd"/>
            <w:r>
              <w:t xml:space="preserve"> to manage these issues should be integrated into the change management plan. </w:t>
            </w:r>
          </w:p>
          <w:p w14:paraId="772F04DA" w14:textId="77777777" w:rsidR="008838C2" w:rsidRDefault="008838C2" w:rsidP="008838C2">
            <w:pPr>
              <w:pStyle w:val="TableParagraph"/>
              <w:ind w:right="248"/>
            </w:pPr>
          </w:p>
          <w:p w14:paraId="047845E5" w14:textId="77777777" w:rsidR="008838C2" w:rsidRDefault="008838C2" w:rsidP="008838C2">
            <w:pPr>
              <w:pStyle w:val="TableParagraph"/>
              <w:ind w:right="248"/>
            </w:pPr>
            <w:r>
              <w:t xml:space="preserve">(h) Effective management of change should be supported by the following: </w:t>
            </w:r>
          </w:p>
          <w:p w14:paraId="1E89E35A" w14:textId="77777777" w:rsidR="00111049" w:rsidRDefault="00111049" w:rsidP="008838C2">
            <w:pPr>
              <w:pStyle w:val="TableParagraph"/>
              <w:ind w:right="248"/>
            </w:pPr>
          </w:p>
          <w:p w14:paraId="40E6D3A0" w14:textId="77777777" w:rsidR="008838C2" w:rsidRDefault="008838C2" w:rsidP="008838C2">
            <w:pPr>
              <w:pStyle w:val="TableParagraph"/>
              <w:ind w:right="248"/>
            </w:pPr>
            <w:r>
              <w:t xml:space="preserve">(1) implementation of a process for formal hazard identification/risk assessment for major operational changes, major organisational changes, changes in key personnel, and changes that may affect the way maintenance is carried </w:t>
            </w:r>
            <w:proofErr w:type="gramStart"/>
            <w:r>
              <w:t>out;</w:t>
            </w:r>
            <w:proofErr w:type="gramEnd"/>
            <w:r>
              <w:t xml:space="preserve"> </w:t>
            </w:r>
          </w:p>
          <w:p w14:paraId="34EEECAB" w14:textId="77777777" w:rsidR="00111049" w:rsidRDefault="00111049" w:rsidP="008838C2">
            <w:pPr>
              <w:pStyle w:val="TableParagraph"/>
              <w:ind w:right="248"/>
            </w:pPr>
          </w:p>
          <w:p w14:paraId="3B79C0CF" w14:textId="77777777" w:rsidR="008838C2" w:rsidRDefault="008838C2" w:rsidP="008838C2">
            <w:pPr>
              <w:pStyle w:val="TableParagraph"/>
              <w:ind w:right="248"/>
            </w:pPr>
            <w:r>
              <w:t xml:space="preserve">(2) identification of changes that are likely to occur in business which would have a noticeable impact on: </w:t>
            </w:r>
          </w:p>
          <w:p w14:paraId="68CC99C6" w14:textId="77777777" w:rsidR="00F15DC3" w:rsidRDefault="00F15DC3" w:rsidP="008838C2">
            <w:pPr>
              <w:pStyle w:val="TableParagraph"/>
              <w:ind w:right="248"/>
            </w:pPr>
          </w:p>
          <w:p w14:paraId="4FA174A3" w14:textId="1B7201C3" w:rsidR="008838C2" w:rsidRDefault="008838C2" w:rsidP="00111049">
            <w:pPr>
              <w:pStyle w:val="TableParagraph"/>
              <w:numPr>
                <w:ilvl w:val="0"/>
                <w:numId w:val="40"/>
              </w:numPr>
              <w:ind w:right="248"/>
            </w:pPr>
            <w:r>
              <w:t xml:space="preserve">resources — material and </w:t>
            </w:r>
            <w:proofErr w:type="gramStart"/>
            <w:r>
              <w:t>human;</w:t>
            </w:r>
            <w:proofErr w:type="gramEnd"/>
            <w:r>
              <w:t xml:space="preserve"> </w:t>
            </w:r>
          </w:p>
          <w:p w14:paraId="43A5D41B" w14:textId="7FBA4A10" w:rsidR="008838C2" w:rsidRDefault="008838C2" w:rsidP="00111049">
            <w:pPr>
              <w:pStyle w:val="TableParagraph"/>
              <w:numPr>
                <w:ilvl w:val="0"/>
                <w:numId w:val="40"/>
              </w:numPr>
              <w:ind w:right="248"/>
            </w:pPr>
            <w:r>
              <w:t xml:space="preserve">management direction — policies, processes, procedures, training; and </w:t>
            </w:r>
          </w:p>
          <w:p w14:paraId="26974084" w14:textId="28B838CE" w:rsidR="008838C2" w:rsidRDefault="008838C2" w:rsidP="00111049">
            <w:pPr>
              <w:pStyle w:val="TableParagraph"/>
              <w:numPr>
                <w:ilvl w:val="0"/>
                <w:numId w:val="40"/>
              </w:numPr>
              <w:ind w:right="248"/>
            </w:pPr>
            <w:r>
              <w:t xml:space="preserve">management </w:t>
            </w:r>
            <w:proofErr w:type="gramStart"/>
            <w:r>
              <w:t>control;</w:t>
            </w:r>
            <w:proofErr w:type="gramEnd"/>
            <w:r>
              <w:t xml:space="preserve"> </w:t>
            </w:r>
          </w:p>
          <w:p w14:paraId="31F59E15" w14:textId="77777777" w:rsidR="00111049" w:rsidRDefault="00111049" w:rsidP="00111049">
            <w:pPr>
              <w:pStyle w:val="TableParagraph"/>
              <w:ind w:left="827" w:right="248"/>
            </w:pPr>
          </w:p>
          <w:p w14:paraId="5F1AA04B" w14:textId="77777777" w:rsidR="008838C2" w:rsidRDefault="008838C2" w:rsidP="008838C2">
            <w:pPr>
              <w:pStyle w:val="TableParagraph"/>
              <w:ind w:left="0" w:right="248"/>
            </w:pPr>
            <w:r>
              <w:t xml:space="preserve"> (3) safety cases/risk assessments that are focused on aviation </w:t>
            </w:r>
            <w:proofErr w:type="gramStart"/>
            <w:r>
              <w:t>safety;</w:t>
            </w:r>
            <w:proofErr w:type="gramEnd"/>
            <w:r>
              <w:t xml:space="preserve"> </w:t>
            </w:r>
          </w:p>
          <w:p w14:paraId="3CDAF138" w14:textId="77777777" w:rsidR="00111049" w:rsidRDefault="00111049" w:rsidP="008838C2">
            <w:pPr>
              <w:pStyle w:val="TableParagraph"/>
              <w:ind w:left="0" w:right="248"/>
            </w:pPr>
          </w:p>
          <w:p w14:paraId="559F870E" w14:textId="77777777" w:rsidR="00111049" w:rsidRDefault="008838C2" w:rsidP="008838C2">
            <w:pPr>
              <w:pStyle w:val="TableParagraph"/>
              <w:ind w:left="0" w:right="248"/>
            </w:pPr>
            <w:r>
              <w:t xml:space="preserve">(4) the involvement of key stakeholders in the change management process, as appropriate. </w:t>
            </w:r>
          </w:p>
          <w:p w14:paraId="60510BF6" w14:textId="77777777" w:rsidR="00111049" w:rsidRDefault="00111049" w:rsidP="008838C2">
            <w:pPr>
              <w:pStyle w:val="TableParagraph"/>
              <w:ind w:left="0" w:right="248"/>
            </w:pPr>
          </w:p>
          <w:p w14:paraId="254A8338" w14:textId="0CFD9BF7" w:rsidR="008838C2" w:rsidRDefault="008838C2" w:rsidP="00111049">
            <w:pPr>
              <w:pStyle w:val="TableParagraph"/>
              <w:numPr>
                <w:ilvl w:val="0"/>
                <w:numId w:val="41"/>
              </w:numPr>
              <w:ind w:right="248"/>
            </w:pPr>
            <w:r>
              <w:t>During the management of change process, previous risk assessments and existing hazards are reviewed for possible effect.</w:t>
            </w:r>
          </w:p>
          <w:p w14:paraId="62E870B4" w14:textId="691D3944" w:rsidR="008838C2" w:rsidRDefault="008838C2" w:rsidP="008838C2">
            <w:pPr>
              <w:pStyle w:val="TableParagraph"/>
              <w:ind w:right="248"/>
              <w:rPr>
                <w:sz w:val="24"/>
              </w:rPr>
            </w:pPr>
          </w:p>
        </w:tc>
        <w:tc>
          <w:tcPr>
            <w:tcW w:w="4203" w:type="dxa"/>
          </w:tcPr>
          <w:p w14:paraId="0A38858E" w14:textId="77777777" w:rsidR="00C518C8" w:rsidRDefault="00C518C8">
            <w:pPr>
              <w:pStyle w:val="TableParagraph"/>
              <w:ind w:left="0"/>
              <w:rPr>
                <w:rFonts w:ascii="Times New Roman"/>
                <w:sz w:val="24"/>
              </w:rPr>
            </w:pPr>
          </w:p>
        </w:tc>
      </w:tr>
      <w:tr w:rsidR="00C518C8" w14:paraId="1D6877B0" w14:textId="77777777">
        <w:trPr>
          <w:trHeight w:val="1379"/>
        </w:trPr>
        <w:tc>
          <w:tcPr>
            <w:tcW w:w="4815" w:type="dxa"/>
          </w:tcPr>
          <w:p w14:paraId="0951E0F4" w14:textId="77777777" w:rsidR="008838C2" w:rsidRDefault="008838C2">
            <w:pPr>
              <w:pStyle w:val="TableParagraph"/>
              <w:ind w:right="248"/>
            </w:pPr>
            <w:r w:rsidRPr="008838C2">
              <w:rPr>
                <w:b/>
                <w:bCs/>
              </w:rPr>
              <w:lastRenderedPageBreak/>
              <w:t>AMC1 145.A.200(a)(4) Management system</w:t>
            </w:r>
            <w:r>
              <w:t xml:space="preserve"> ED Decision 2022/011/R </w:t>
            </w:r>
          </w:p>
          <w:p w14:paraId="32D7009E" w14:textId="77777777" w:rsidR="008838C2" w:rsidRDefault="008838C2">
            <w:pPr>
              <w:pStyle w:val="TableParagraph"/>
              <w:ind w:right="248"/>
            </w:pPr>
          </w:p>
          <w:p w14:paraId="09EBF88F" w14:textId="77777777" w:rsidR="008838C2" w:rsidRDefault="008838C2">
            <w:pPr>
              <w:pStyle w:val="TableParagraph"/>
              <w:ind w:right="248"/>
            </w:pPr>
            <w:r>
              <w:t xml:space="preserve">COMMUNICATION ON SAFETY </w:t>
            </w:r>
          </w:p>
          <w:p w14:paraId="482CEFA2" w14:textId="77777777" w:rsidR="00F15DC3" w:rsidRDefault="00F15DC3">
            <w:pPr>
              <w:pStyle w:val="TableParagraph"/>
              <w:ind w:right="248"/>
            </w:pPr>
          </w:p>
          <w:p w14:paraId="2180B199" w14:textId="77777777" w:rsidR="00F15DC3" w:rsidRDefault="008838C2">
            <w:pPr>
              <w:pStyle w:val="TableParagraph"/>
              <w:ind w:right="248"/>
            </w:pPr>
            <w:r>
              <w:t>(a) The organisation should establish communication regarding safety matters that:</w:t>
            </w:r>
          </w:p>
          <w:p w14:paraId="2344E89A" w14:textId="77777777" w:rsidR="00F15DC3" w:rsidRDefault="00F15DC3">
            <w:pPr>
              <w:pStyle w:val="TableParagraph"/>
              <w:ind w:right="248"/>
            </w:pPr>
          </w:p>
          <w:p w14:paraId="1FFE3D07" w14:textId="77777777" w:rsidR="00F15DC3" w:rsidRDefault="008838C2">
            <w:pPr>
              <w:pStyle w:val="TableParagraph"/>
              <w:ind w:right="248"/>
            </w:pPr>
            <w:r>
              <w:t xml:space="preserve">(1) ensures that all personnel are aware of the safety management activities, as appropriate for their safety </w:t>
            </w:r>
            <w:proofErr w:type="gramStart"/>
            <w:r>
              <w:t>responsibilities;</w:t>
            </w:r>
            <w:proofErr w:type="gramEnd"/>
            <w:r>
              <w:t xml:space="preserve"> </w:t>
            </w:r>
          </w:p>
          <w:p w14:paraId="53467C08" w14:textId="77777777" w:rsidR="00F15DC3" w:rsidRDefault="00F15DC3">
            <w:pPr>
              <w:pStyle w:val="TableParagraph"/>
              <w:ind w:right="248"/>
            </w:pPr>
          </w:p>
          <w:p w14:paraId="10735483" w14:textId="77780AE2" w:rsidR="008838C2" w:rsidRDefault="008838C2">
            <w:pPr>
              <w:pStyle w:val="TableParagraph"/>
              <w:ind w:right="248"/>
            </w:pPr>
            <w:r>
              <w:t xml:space="preserve">(2) conveys safety-critical information, especially related to assessed risks and </w:t>
            </w:r>
            <w:proofErr w:type="spellStart"/>
            <w:r>
              <w:t>analysed</w:t>
            </w:r>
            <w:proofErr w:type="spellEnd"/>
            <w:r>
              <w:t xml:space="preserve"> </w:t>
            </w:r>
            <w:proofErr w:type="gramStart"/>
            <w:r>
              <w:t>hazards;</w:t>
            </w:r>
            <w:proofErr w:type="gramEnd"/>
            <w:r>
              <w:t xml:space="preserve"> </w:t>
            </w:r>
          </w:p>
          <w:p w14:paraId="77730C16" w14:textId="77777777" w:rsidR="00F15DC3" w:rsidRDefault="00F15DC3">
            <w:pPr>
              <w:pStyle w:val="TableParagraph"/>
              <w:ind w:right="248"/>
            </w:pPr>
          </w:p>
          <w:p w14:paraId="011C4EE6" w14:textId="77777777" w:rsidR="008838C2" w:rsidRDefault="008838C2">
            <w:pPr>
              <w:pStyle w:val="TableParagraph"/>
              <w:ind w:right="248"/>
            </w:pPr>
            <w:r>
              <w:t xml:space="preserve">(3) explains why particular actions are taken; and </w:t>
            </w:r>
          </w:p>
          <w:p w14:paraId="080B1CD4" w14:textId="77777777" w:rsidR="00F15DC3" w:rsidRDefault="00F15DC3">
            <w:pPr>
              <w:pStyle w:val="TableParagraph"/>
              <w:ind w:right="248"/>
            </w:pPr>
          </w:p>
          <w:p w14:paraId="7319D94D" w14:textId="77777777" w:rsidR="008838C2" w:rsidRDefault="008838C2">
            <w:pPr>
              <w:pStyle w:val="TableParagraph"/>
              <w:ind w:right="248"/>
            </w:pPr>
            <w:r>
              <w:lastRenderedPageBreak/>
              <w:t xml:space="preserve">(4) explains why safety procedures are introduced or changed. </w:t>
            </w:r>
          </w:p>
          <w:p w14:paraId="6F98DA18" w14:textId="77777777" w:rsidR="008838C2" w:rsidRDefault="008838C2">
            <w:pPr>
              <w:pStyle w:val="TableParagraph"/>
              <w:ind w:right="248"/>
            </w:pPr>
          </w:p>
          <w:p w14:paraId="0F9E4362" w14:textId="41B2489F" w:rsidR="00C518C8" w:rsidRPr="00295567" w:rsidRDefault="008838C2">
            <w:pPr>
              <w:pStyle w:val="TableParagraph"/>
              <w:ind w:right="248"/>
              <w:rPr>
                <w:sz w:val="24"/>
                <w:lang w:val="bg-BG"/>
              </w:rPr>
            </w:pPr>
            <w:r>
              <w:t>(b) Regular meetings with personnel, at which information, actions, and procedures are discussed, may be used to communicate safety matters</w:t>
            </w:r>
          </w:p>
        </w:tc>
        <w:tc>
          <w:tcPr>
            <w:tcW w:w="4203" w:type="dxa"/>
          </w:tcPr>
          <w:p w14:paraId="458BC099" w14:textId="77777777" w:rsidR="00C518C8" w:rsidRDefault="00C518C8">
            <w:pPr>
              <w:pStyle w:val="TableParagraph"/>
              <w:ind w:left="0"/>
              <w:rPr>
                <w:rFonts w:ascii="Times New Roman"/>
                <w:sz w:val="24"/>
              </w:rPr>
            </w:pPr>
          </w:p>
        </w:tc>
      </w:tr>
      <w:tr w:rsidR="00C518C8" w14:paraId="6E19C1A2" w14:textId="77777777">
        <w:trPr>
          <w:trHeight w:val="1379"/>
        </w:trPr>
        <w:tc>
          <w:tcPr>
            <w:tcW w:w="4815" w:type="dxa"/>
          </w:tcPr>
          <w:p w14:paraId="4BF2EA24" w14:textId="77777777" w:rsidR="00295567" w:rsidRDefault="00295567">
            <w:pPr>
              <w:pStyle w:val="TableParagraph"/>
              <w:ind w:right="248"/>
            </w:pPr>
            <w:r w:rsidRPr="00295567">
              <w:rPr>
                <w:b/>
                <w:bCs/>
              </w:rPr>
              <w:t>GM1 145.A.200(a)(4) Management system</w:t>
            </w:r>
            <w:r>
              <w:t xml:space="preserve"> ED Decision 2022/011/R </w:t>
            </w:r>
          </w:p>
          <w:p w14:paraId="32837FEF" w14:textId="77777777" w:rsidR="00295567" w:rsidRDefault="00295567">
            <w:pPr>
              <w:pStyle w:val="TableParagraph"/>
              <w:ind w:right="248"/>
            </w:pPr>
          </w:p>
          <w:p w14:paraId="3414A44D" w14:textId="77777777" w:rsidR="00295567" w:rsidRDefault="00295567">
            <w:pPr>
              <w:pStyle w:val="TableParagraph"/>
              <w:ind w:right="248"/>
            </w:pPr>
            <w:r>
              <w:t xml:space="preserve">SAFETY PROMOTION </w:t>
            </w:r>
          </w:p>
          <w:p w14:paraId="0E563FFF" w14:textId="77777777" w:rsidR="00295567" w:rsidRDefault="00295567">
            <w:pPr>
              <w:pStyle w:val="TableParagraph"/>
              <w:ind w:right="248"/>
            </w:pPr>
          </w:p>
          <w:p w14:paraId="7D04C67E" w14:textId="77777777" w:rsidR="00295567" w:rsidRDefault="00295567">
            <w:pPr>
              <w:pStyle w:val="TableParagraph"/>
              <w:ind w:right="248"/>
            </w:pPr>
            <w:r>
              <w:t xml:space="preserve">(a) Safety training, combined with safety communication and information sharing, forms part of safety promotion. </w:t>
            </w:r>
          </w:p>
          <w:p w14:paraId="72644B79" w14:textId="77777777" w:rsidR="004B662D" w:rsidRDefault="004B662D">
            <w:pPr>
              <w:pStyle w:val="TableParagraph"/>
              <w:ind w:right="248"/>
            </w:pPr>
          </w:p>
          <w:p w14:paraId="1AE97242" w14:textId="77777777" w:rsidR="00295567" w:rsidRDefault="00295567">
            <w:pPr>
              <w:pStyle w:val="TableParagraph"/>
              <w:ind w:right="248"/>
            </w:pPr>
            <w:r>
              <w:t xml:space="preserve">(b) Safety promotion activities should support: </w:t>
            </w:r>
          </w:p>
          <w:p w14:paraId="66248CB6" w14:textId="77777777" w:rsidR="004B662D" w:rsidRDefault="004B662D">
            <w:pPr>
              <w:pStyle w:val="TableParagraph"/>
              <w:ind w:right="248"/>
            </w:pPr>
          </w:p>
          <w:p w14:paraId="57B293F9" w14:textId="7D1DB341" w:rsidR="00295567" w:rsidRDefault="00295567" w:rsidP="004B662D">
            <w:pPr>
              <w:pStyle w:val="TableParagraph"/>
              <w:numPr>
                <w:ilvl w:val="0"/>
                <w:numId w:val="41"/>
              </w:numPr>
              <w:ind w:right="248"/>
            </w:pPr>
            <w:r>
              <w:t xml:space="preserve">the organisation’s policies, encouraging a positive safety culture, creating an environment that is </w:t>
            </w:r>
            <w:proofErr w:type="spellStart"/>
            <w:r>
              <w:t>favourable</w:t>
            </w:r>
            <w:proofErr w:type="spellEnd"/>
            <w:r>
              <w:t xml:space="preserve"> to the achievement of the organisation’s safety </w:t>
            </w:r>
            <w:proofErr w:type="gramStart"/>
            <w:r>
              <w:t>objectives;</w:t>
            </w:r>
            <w:proofErr w:type="gramEnd"/>
            <w:r>
              <w:t xml:space="preserve"> </w:t>
            </w:r>
          </w:p>
          <w:p w14:paraId="57916489" w14:textId="77777777" w:rsidR="004B662D" w:rsidRDefault="004B662D" w:rsidP="004B662D">
            <w:pPr>
              <w:pStyle w:val="TableParagraph"/>
              <w:ind w:left="720" w:right="248"/>
            </w:pPr>
          </w:p>
          <w:p w14:paraId="3008390F" w14:textId="7772C364" w:rsidR="00C518C8" w:rsidRDefault="00295567" w:rsidP="004B662D">
            <w:pPr>
              <w:pStyle w:val="TableParagraph"/>
              <w:numPr>
                <w:ilvl w:val="0"/>
                <w:numId w:val="41"/>
              </w:numPr>
              <w:ind w:right="248"/>
              <w:rPr>
                <w:lang w:val="en-GB"/>
              </w:rPr>
            </w:pPr>
            <w:r>
              <w:t>organisational learning; an</w:t>
            </w:r>
            <w:r>
              <w:rPr>
                <w:lang w:val="en-GB"/>
              </w:rPr>
              <w:t>d</w:t>
            </w:r>
          </w:p>
          <w:p w14:paraId="7B2DCF49" w14:textId="77777777" w:rsidR="004B662D" w:rsidRDefault="004B662D" w:rsidP="004B662D">
            <w:pPr>
              <w:pStyle w:val="ListParagraph"/>
              <w:rPr>
                <w:lang w:val="en-GB"/>
              </w:rPr>
            </w:pPr>
          </w:p>
          <w:p w14:paraId="24D581E7" w14:textId="08BEBA0F" w:rsidR="00295567" w:rsidRDefault="00295567" w:rsidP="004B662D">
            <w:pPr>
              <w:pStyle w:val="TableParagraph"/>
              <w:numPr>
                <w:ilvl w:val="0"/>
                <w:numId w:val="41"/>
              </w:numPr>
              <w:ind w:right="248"/>
            </w:pPr>
            <w:r>
              <w:t xml:space="preserve">the implementation of an effective safety reporting scheme and the development of a just culture. </w:t>
            </w:r>
          </w:p>
          <w:p w14:paraId="4D5408CD" w14:textId="77777777" w:rsidR="00295567" w:rsidRDefault="00295567">
            <w:pPr>
              <w:pStyle w:val="TableParagraph"/>
              <w:ind w:right="248"/>
            </w:pPr>
          </w:p>
          <w:p w14:paraId="2D792E3C" w14:textId="77777777" w:rsidR="00295567" w:rsidRDefault="00295567">
            <w:pPr>
              <w:pStyle w:val="TableParagraph"/>
              <w:ind w:right="248"/>
            </w:pPr>
            <w:r>
              <w:t xml:space="preserve">(c) Depending on the </w:t>
            </w:r>
            <w:proofErr w:type="gramStart"/>
            <w:r>
              <w:t>particular safety</w:t>
            </w:r>
            <w:proofErr w:type="gramEnd"/>
            <w:r>
              <w:t xml:space="preserve"> issue, safety promotion may also constitute or complement risk mitigation actions. </w:t>
            </w:r>
          </w:p>
          <w:p w14:paraId="28E66842" w14:textId="77777777" w:rsidR="00295567" w:rsidRDefault="00295567">
            <w:pPr>
              <w:pStyle w:val="TableParagraph"/>
              <w:ind w:right="248"/>
            </w:pPr>
          </w:p>
          <w:p w14:paraId="0AEE50ED" w14:textId="77777777" w:rsidR="00295567" w:rsidRDefault="00295567">
            <w:pPr>
              <w:pStyle w:val="TableParagraph"/>
              <w:ind w:right="248"/>
            </w:pPr>
            <w:r>
              <w:t>(d) Qualifications and training aspects are further specified in the AMC and the GM to point 145.A.30.</w:t>
            </w:r>
          </w:p>
          <w:p w14:paraId="0C6E7622" w14:textId="1CEF719D" w:rsidR="0034509F" w:rsidRPr="00295567" w:rsidRDefault="0034509F">
            <w:pPr>
              <w:pStyle w:val="TableParagraph"/>
              <w:ind w:right="248"/>
              <w:rPr>
                <w:sz w:val="24"/>
                <w:lang w:val="en-GB"/>
              </w:rPr>
            </w:pPr>
          </w:p>
        </w:tc>
        <w:tc>
          <w:tcPr>
            <w:tcW w:w="4203" w:type="dxa"/>
          </w:tcPr>
          <w:p w14:paraId="04B6A662" w14:textId="77777777" w:rsidR="00C518C8" w:rsidRDefault="00C518C8">
            <w:pPr>
              <w:pStyle w:val="TableParagraph"/>
              <w:ind w:left="0"/>
              <w:rPr>
                <w:rFonts w:ascii="Times New Roman"/>
                <w:sz w:val="24"/>
              </w:rPr>
            </w:pPr>
          </w:p>
        </w:tc>
      </w:tr>
      <w:tr w:rsidR="00C518C8" w14:paraId="0AA4F0D0" w14:textId="77777777">
        <w:trPr>
          <w:trHeight w:val="1379"/>
        </w:trPr>
        <w:tc>
          <w:tcPr>
            <w:tcW w:w="4815" w:type="dxa"/>
          </w:tcPr>
          <w:p w14:paraId="2226E5FC" w14:textId="77777777" w:rsidR="0034509F" w:rsidRDefault="0034509F">
            <w:pPr>
              <w:pStyle w:val="TableParagraph"/>
              <w:ind w:right="248"/>
            </w:pPr>
            <w:r w:rsidRPr="0034509F">
              <w:rPr>
                <w:b/>
                <w:bCs/>
              </w:rPr>
              <w:t>GM1 145.A.200(a)(5) Management system</w:t>
            </w:r>
            <w:r>
              <w:t xml:space="preserve"> ED Decision 2022/011/R </w:t>
            </w:r>
          </w:p>
          <w:p w14:paraId="601A3826" w14:textId="77777777" w:rsidR="0034509F" w:rsidRDefault="0034509F">
            <w:pPr>
              <w:pStyle w:val="TableParagraph"/>
              <w:ind w:right="248"/>
            </w:pPr>
          </w:p>
          <w:p w14:paraId="498061F7" w14:textId="77777777" w:rsidR="0034509F" w:rsidRDefault="0034509F">
            <w:pPr>
              <w:pStyle w:val="TableParagraph"/>
              <w:ind w:right="248"/>
            </w:pPr>
            <w:r>
              <w:t xml:space="preserve">MANAGEMENT SYSTEM DOCUMENTATION </w:t>
            </w:r>
          </w:p>
          <w:p w14:paraId="420F26D6" w14:textId="77777777" w:rsidR="0034509F" w:rsidRDefault="0034509F">
            <w:pPr>
              <w:pStyle w:val="TableParagraph"/>
              <w:ind w:right="248"/>
            </w:pPr>
          </w:p>
          <w:p w14:paraId="482A46DC" w14:textId="77777777" w:rsidR="00127F3A" w:rsidRDefault="0034509F">
            <w:pPr>
              <w:pStyle w:val="TableParagraph"/>
              <w:ind w:right="248"/>
            </w:pPr>
            <w:r>
              <w:t>(a) The organisation may document its safety policy, safety objectives and all its key management system processes in a separate manual (</w:t>
            </w:r>
            <w:proofErr w:type="gramStart"/>
            <w:r>
              <w:t>e.g.</w:t>
            </w:r>
            <w:proofErr w:type="gramEnd"/>
            <w:r>
              <w:t xml:space="preserve"> a Safety Management Manual or Management System Manual), or in its MOE (see AMC1 145.A.70(a), </w:t>
            </w:r>
          </w:p>
          <w:p w14:paraId="60830FB5" w14:textId="77777777" w:rsidR="00127F3A" w:rsidRDefault="00127F3A">
            <w:pPr>
              <w:pStyle w:val="TableParagraph"/>
              <w:ind w:right="248"/>
            </w:pPr>
          </w:p>
          <w:p w14:paraId="26477EF7" w14:textId="77777777" w:rsidR="00127F3A" w:rsidRDefault="0034509F">
            <w:pPr>
              <w:pStyle w:val="TableParagraph"/>
              <w:ind w:right="248"/>
            </w:pPr>
            <w:r>
              <w:t xml:space="preserve">Part 3 ‘Management system procedures’). Organisations that hold multiple organisation certificates within the scope of Regulation (EU) 2018/1139 may prefer to use a separate manual </w:t>
            </w:r>
            <w:proofErr w:type="gramStart"/>
            <w:r>
              <w:t>in order to</w:t>
            </w:r>
            <w:proofErr w:type="gramEnd"/>
            <w:r>
              <w:t xml:space="preserve"> avoid duplication. </w:t>
            </w:r>
          </w:p>
          <w:p w14:paraId="3692BF20" w14:textId="77777777" w:rsidR="00127F3A" w:rsidRDefault="00127F3A">
            <w:pPr>
              <w:pStyle w:val="TableParagraph"/>
              <w:ind w:right="248"/>
            </w:pPr>
          </w:p>
          <w:p w14:paraId="0D492F4B" w14:textId="1FDE84A0" w:rsidR="0034509F" w:rsidRDefault="0034509F">
            <w:pPr>
              <w:pStyle w:val="TableParagraph"/>
              <w:ind w:right="248"/>
            </w:pPr>
            <w:r>
              <w:t xml:space="preserve">That manual or the MOE, depending on the </w:t>
            </w:r>
            <w:r>
              <w:lastRenderedPageBreak/>
              <w:t xml:space="preserve">case, should be the key instrument for communicating the approach to the management system for the whole of the organisation. </w:t>
            </w:r>
          </w:p>
          <w:p w14:paraId="0A19258F" w14:textId="77777777" w:rsidR="0034509F" w:rsidRDefault="0034509F">
            <w:pPr>
              <w:pStyle w:val="TableParagraph"/>
              <w:ind w:right="248"/>
            </w:pPr>
          </w:p>
          <w:p w14:paraId="3C8919B6" w14:textId="77777777" w:rsidR="00127F3A" w:rsidRDefault="0034509F">
            <w:pPr>
              <w:pStyle w:val="TableParagraph"/>
              <w:ind w:right="248"/>
            </w:pPr>
            <w:r>
              <w:t>(b) The organisation may also choose to document some of the information that is required to be documented in separate documents (</w:t>
            </w:r>
            <w:proofErr w:type="gramStart"/>
            <w:r>
              <w:t>e.g.</w:t>
            </w:r>
            <w:proofErr w:type="gramEnd"/>
            <w:r>
              <w:t xml:space="preserve"> policy documents, procedures). </w:t>
            </w:r>
          </w:p>
          <w:p w14:paraId="50DAAACF" w14:textId="77777777" w:rsidR="00127F3A" w:rsidRDefault="00127F3A">
            <w:pPr>
              <w:pStyle w:val="TableParagraph"/>
              <w:ind w:right="248"/>
            </w:pPr>
          </w:p>
          <w:p w14:paraId="3E668D03" w14:textId="77777777" w:rsidR="00127F3A" w:rsidRDefault="0034509F">
            <w:pPr>
              <w:pStyle w:val="TableParagraph"/>
              <w:ind w:right="248"/>
            </w:pPr>
            <w:r>
              <w:t xml:space="preserve">In that case, it should ensure that the manual or the MOE contains adequate references to any document that is kept separately. </w:t>
            </w:r>
          </w:p>
          <w:p w14:paraId="4F6C52D3" w14:textId="77777777" w:rsidR="00127F3A" w:rsidRDefault="00127F3A">
            <w:pPr>
              <w:pStyle w:val="TableParagraph"/>
              <w:ind w:right="248"/>
            </w:pPr>
          </w:p>
          <w:p w14:paraId="4B656DBF" w14:textId="7F3C82A1" w:rsidR="00C518C8" w:rsidRDefault="0034509F">
            <w:pPr>
              <w:pStyle w:val="TableParagraph"/>
              <w:ind w:right="248"/>
              <w:rPr>
                <w:sz w:val="24"/>
              </w:rPr>
            </w:pPr>
            <w:r>
              <w:t xml:space="preserve">Any such documents are to </w:t>
            </w:r>
            <w:proofErr w:type="gramStart"/>
            <w:r>
              <w:t>be considered to be</w:t>
            </w:r>
            <w:proofErr w:type="gramEnd"/>
            <w:r>
              <w:t xml:space="preserve"> integral parts of the organisation’s management system documentation.</w:t>
            </w:r>
          </w:p>
        </w:tc>
        <w:tc>
          <w:tcPr>
            <w:tcW w:w="4203" w:type="dxa"/>
          </w:tcPr>
          <w:p w14:paraId="0D30226A" w14:textId="77777777" w:rsidR="00C518C8" w:rsidRDefault="00C518C8">
            <w:pPr>
              <w:pStyle w:val="TableParagraph"/>
              <w:ind w:left="0"/>
              <w:rPr>
                <w:rFonts w:ascii="Times New Roman"/>
                <w:sz w:val="24"/>
              </w:rPr>
            </w:pPr>
          </w:p>
        </w:tc>
      </w:tr>
      <w:tr w:rsidR="00C518C8" w14:paraId="0DF81147" w14:textId="77777777">
        <w:trPr>
          <w:trHeight w:val="1379"/>
        </w:trPr>
        <w:tc>
          <w:tcPr>
            <w:tcW w:w="4815" w:type="dxa"/>
          </w:tcPr>
          <w:p w14:paraId="58FC03E9" w14:textId="77777777" w:rsidR="0034509F" w:rsidRPr="00127F3A" w:rsidRDefault="0034509F">
            <w:pPr>
              <w:pStyle w:val="TableParagraph"/>
              <w:ind w:right="248"/>
              <w:rPr>
                <w:highlight w:val="yellow"/>
              </w:rPr>
            </w:pPr>
            <w:r>
              <w:rPr>
                <w:sz w:val="24"/>
              </w:rPr>
              <w:t xml:space="preserve"> </w:t>
            </w:r>
            <w:r w:rsidRPr="00127F3A">
              <w:rPr>
                <w:b/>
                <w:bCs/>
                <w:highlight w:val="yellow"/>
              </w:rPr>
              <w:t>AMC1 145.A.200(a)(6) Management system</w:t>
            </w:r>
            <w:r w:rsidRPr="00127F3A">
              <w:rPr>
                <w:highlight w:val="yellow"/>
              </w:rPr>
              <w:t xml:space="preserve"> ED Decision 2022/011/R </w:t>
            </w:r>
          </w:p>
          <w:p w14:paraId="3EB7B26A" w14:textId="77777777" w:rsidR="0034509F" w:rsidRPr="00127F3A" w:rsidRDefault="0034509F">
            <w:pPr>
              <w:pStyle w:val="TableParagraph"/>
              <w:ind w:right="248"/>
              <w:rPr>
                <w:highlight w:val="yellow"/>
              </w:rPr>
            </w:pPr>
          </w:p>
          <w:p w14:paraId="6125EC60" w14:textId="77777777" w:rsidR="0034509F" w:rsidRDefault="0034509F">
            <w:pPr>
              <w:pStyle w:val="TableParagraph"/>
              <w:ind w:right="248"/>
            </w:pPr>
            <w:r w:rsidRPr="00127F3A">
              <w:rPr>
                <w:highlight w:val="yellow"/>
              </w:rPr>
              <w:t>COMPLIANCE MONITORING — GENERAL</w:t>
            </w:r>
          </w:p>
          <w:p w14:paraId="5C419042" w14:textId="77777777" w:rsidR="0034509F" w:rsidRDefault="0034509F">
            <w:pPr>
              <w:pStyle w:val="TableParagraph"/>
              <w:ind w:right="248"/>
            </w:pPr>
          </w:p>
          <w:p w14:paraId="1C3ADA96" w14:textId="77777777" w:rsidR="0034509F" w:rsidRDefault="0034509F">
            <w:pPr>
              <w:pStyle w:val="TableParagraph"/>
              <w:ind w:right="248"/>
            </w:pPr>
            <w:r>
              <w:t xml:space="preserve"> (a) The primary objectives of compliance monitoring are to provide an independent monitoring function on how the organisation ensures compliance with the applicable requirements, </w:t>
            </w:r>
            <w:proofErr w:type="gramStart"/>
            <w:r>
              <w:t>policies</w:t>
            </w:r>
            <w:proofErr w:type="gramEnd"/>
            <w:r>
              <w:t xml:space="preserve"> and procedures, and to request action where non-compliances are identified. </w:t>
            </w:r>
          </w:p>
          <w:p w14:paraId="770A2E02" w14:textId="77777777" w:rsidR="0034509F" w:rsidRDefault="0034509F">
            <w:pPr>
              <w:pStyle w:val="TableParagraph"/>
              <w:ind w:right="248"/>
            </w:pPr>
          </w:p>
          <w:p w14:paraId="3252F80A" w14:textId="77777777" w:rsidR="00C518C8" w:rsidRDefault="0034509F">
            <w:pPr>
              <w:pStyle w:val="TableParagraph"/>
              <w:ind w:right="248"/>
            </w:pPr>
            <w:r>
              <w:t>(b) The independence of the compliance monitoring should be established by always ensuring that audits and inspections are carried out by personnel who are not responsible for the functions, procedures or products that are audited or inspected.</w:t>
            </w:r>
          </w:p>
          <w:p w14:paraId="27DE3DC1" w14:textId="18E07C38" w:rsidR="0034509F" w:rsidRDefault="0034509F">
            <w:pPr>
              <w:pStyle w:val="TableParagraph"/>
              <w:ind w:right="248"/>
              <w:rPr>
                <w:sz w:val="24"/>
              </w:rPr>
            </w:pPr>
          </w:p>
        </w:tc>
        <w:tc>
          <w:tcPr>
            <w:tcW w:w="4203" w:type="dxa"/>
          </w:tcPr>
          <w:p w14:paraId="13F3E07F" w14:textId="77777777" w:rsidR="00C518C8" w:rsidRDefault="00C518C8">
            <w:pPr>
              <w:pStyle w:val="TableParagraph"/>
              <w:ind w:left="0"/>
              <w:rPr>
                <w:rFonts w:ascii="Times New Roman"/>
                <w:sz w:val="24"/>
              </w:rPr>
            </w:pPr>
          </w:p>
        </w:tc>
      </w:tr>
      <w:tr w:rsidR="00C518C8" w14:paraId="1CA3FC74" w14:textId="77777777">
        <w:trPr>
          <w:trHeight w:val="1379"/>
        </w:trPr>
        <w:tc>
          <w:tcPr>
            <w:tcW w:w="4815" w:type="dxa"/>
          </w:tcPr>
          <w:p w14:paraId="5250DE3B" w14:textId="77777777" w:rsidR="0034509F" w:rsidRDefault="0034509F">
            <w:pPr>
              <w:pStyle w:val="TableParagraph"/>
              <w:ind w:right="248"/>
            </w:pPr>
            <w:r w:rsidRPr="0034509F">
              <w:rPr>
                <w:b/>
                <w:bCs/>
              </w:rPr>
              <w:t xml:space="preserve">AMC2 145.A.200(a)(6) Management system </w:t>
            </w:r>
          </w:p>
          <w:p w14:paraId="179958A8" w14:textId="69328623" w:rsidR="0034509F" w:rsidRDefault="0034509F">
            <w:pPr>
              <w:pStyle w:val="TableParagraph"/>
              <w:ind w:right="248"/>
            </w:pPr>
            <w:r>
              <w:t xml:space="preserve">ED Decision 2022/011/R </w:t>
            </w:r>
          </w:p>
          <w:p w14:paraId="7D35E840" w14:textId="77777777" w:rsidR="0034509F" w:rsidRDefault="0034509F">
            <w:pPr>
              <w:pStyle w:val="TableParagraph"/>
              <w:ind w:right="248"/>
            </w:pPr>
          </w:p>
          <w:p w14:paraId="7E139102" w14:textId="77777777" w:rsidR="0034509F" w:rsidRDefault="0034509F">
            <w:pPr>
              <w:pStyle w:val="TableParagraph"/>
              <w:ind w:right="248"/>
            </w:pPr>
            <w:r>
              <w:t xml:space="preserve">COMPLIANCE MONITORING — INDEPENDENT AUDIT </w:t>
            </w:r>
          </w:p>
          <w:p w14:paraId="05F659CD" w14:textId="77777777" w:rsidR="0034509F" w:rsidRDefault="0034509F">
            <w:pPr>
              <w:pStyle w:val="TableParagraph"/>
              <w:ind w:right="248"/>
            </w:pPr>
          </w:p>
          <w:p w14:paraId="620B0FA9" w14:textId="77777777" w:rsidR="0034509F" w:rsidRDefault="0034509F">
            <w:pPr>
              <w:pStyle w:val="TableParagraph"/>
              <w:ind w:right="248"/>
            </w:pPr>
            <w:r>
              <w:t xml:space="preserve">(a) An essential element of the compliance monitoring function is the independent audit. </w:t>
            </w:r>
          </w:p>
          <w:p w14:paraId="7CE49B9B" w14:textId="77777777" w:rsidR="0034509F" w:rsidRDefault="0034509F">
            <w:pPr>
              <w:pStyle w:val="TableParagraph"/>
              <w:ind w:right="248"/>
            </w:pPr>
          </w:p>
          <w:p w14:paraId="22B3FDD1" w14:textId="77777777" w:rsidR="0034509F" w:rsidRDefault="0034509F">
            <w:pPr>
              <w:pStyle w:val="TableParagraph"/>
              <w:ind w:right="248"/>
            </w:pPr>
            <w:r>
              <w:t>(b) The independent audit should be an objective process of routine sample checks of all aspects of the organisation’s ability to carry out all maintenance to the standards required by this Regulation. It should include checking compliance of the organisation procedures with the Regulation, adherence of the organisation to these procedures, and product or maintenance sampling (</w:t>
            </w:r>
            <w:proofErr w:type="gramStart"/>
            <w:r>
              <w:t>i.e.</w:t>
            </w:r>
            <w:proofErr w:type="gramEnd"/>
            <w:r>
              <w:t xml:space="preserve"> product audit), as this is the end result of the maintenance process. </w:t>
            </w:r>
          </w:p>
          <w:p w14:paraId="6B73633A" w14:textId="77777777" w:rsidR="0034509F" w:rsidRDefault="0034509F">
            <w:pPr>
              <w:pStyle w:val="TableParagraph"/>
              <w:ind w:right="248"/>
            </w:pPr>
          </w:p>
          <w:p w14:paraId="150FC012" w14:textId="77777777" w:rsidR="00127F3A" w:rsidRDefault="0034509F">
            <w:pPr>
              <w:pStyle w:val="TableParagraph"/>
              <w:ind w:right="248"/>
            </w:pPr>
            <w:r>
              <w:t xml:space="preserve">(c) The independent audit should provide an objective overview of the complete set of maintenance-related activities. </w:t>
            </w:r>
          </w:p>
          <w:p w14:paraId="2587DADD" w14:textId="77777777" w:rsidR="00127F3A" w:rsidRDefault="00127F3A">
            <w:pPr>
              <w:pStyle w:val="TableParagraph"/>
              <w:ind w:right="248"/>
            </w:pPr>
          </w:p>
          <w:p w14:paraId="0DD5F926" w14:textId="67E4246D" w:rsidR="0034509F" w:rsidRDefault="0034509F">
            <w:pPr>
              <w:pStyle w:val="TableParagraph"/>
              <w:ind w:right="248"/>
            </w:pPr>
            <w:r>
              <w:t>It should include a percentage of unannounced audits carried</w:t>
            </w:r>
            <w:r w:rsidR="00127F3A">
              <w:t xml:space="preserve"> </w:t>
            </w:r>
            <w:r>
              <w:t xml:space="preserve">out on a sample basis while maintenance is being carried out. This means that some audits should be carried out during the night for those organisations that work at night. </w:t>
            </w:r>
          </w:p>
          <w:p w14:paraId="2C0BD04F" w14:textId="77777777" w:rsidR="00127F3A" w:rsidRDefault="00127F3A">
            <w:pPr>
              <w:pStyle w:val="TableParagraph"/>
              <w:ind w:right="248"/>
            </w:pPr>
          </w:p>
          <w:p w14:paraId="1ACDA2C8" w14:textId="6B0E5E09" w:rsidR="00127F3A" w:rsidRPr="00127F3A" w:rsidRDefault="00127F3A">
            <w:pPr>
              <w:pStyle w:val="TableParagraph"/>
              <w:ind w:right="248"/>
              <w:rPr>
                <w:i/>
                <w:iCs/>
              </w:rPr>
            </w:pPr>
            <w:r w:rsidRPr="00127F3A">
              <w:rPr>
                <w:i/>
                <w:iCs/>
                <w:highlight w:val="cyan"/>
              </w:rPr>
              <w:t xml:space="preserve">Audit Check Point – Seek evidence of unannounced </w:t>
            </w:r>
            <w:proofErr w:type="gramStart"/>
            <w:r w:rsidRPr="00127F3A">
              <w:rPr>
                <w:i/>
                <w:iCs/>
                <w:highlight w:val="cyan"/>
              </w:rPr>
              <w:t>audits</w:t>
            </w:r>
            <w:proofErr w:type="gramEnd"/>
          </w:p>
          <w:p w14:paraId="4AC774BD" w14:textId="77777777" w:rsidR="0034509F" w:rsidRDefault="0034509F">
            <w:pPr>
              <w:pStyle w:val="TableParagraph"/>
              <w:ind w:right="248"/>
            </w:pPr>
          </w:p>
          <w:p w14:paraId="19B58659" w14:textId="77777777" w:rsidR="0034509F" w:rsidRDefault="0034509F">
            <w:pPr>
              <w:pStyle w:val="TableParagraph"/>
              <w:ind w:right="248"/>
            </w:pPr>
            <w:r>
              <w:t xml:space="preserve">(d) The organisation should establish an audit plan to show when and how often the </w:t>
            </w:r>
            <w:proofErr w:type="gramStart"/>
            <w:r>
              <w:t>activities as</w:t>
            </w:r>
            <w:proofErr w:type="gramEnd"/>
            <w:r>
              <w:t xml:space="preserve"> required by this Regulation will be audited. </w:t>
            </w:r>
          </w:p>
          <w:p w14:paraId="7D689D82" w14:textId="77777777" w:rsidR="0034509F" w:rsidRDefault="0034509F">
            <w:pPr>
              <w:pStyle w:val="TableParagraph"/>
              <w:ind w:right="248"/>
            </w:pPr>
          </w:p>
          <w:p w14:paraId="674D66D0" w14:textId="77777777" w:rsidR="00127F3A" w:rsidRPr="00127F3A" w:rsidRDefault="0034509F">
            <w:pPr>
              <w:pStyle w:val="TableParagraph"/>
              <w:ind w:right="248"/>
              <w:rPr>
                <w:b/>
                <w:bCs/>
              </w:rPr>
            </w:pPr>
            <w:r w:rsidRPr="00127F3A">
              <w:rPr>
                <w:b/>
                <w:bCs/>
                <w:highlight w:val="yellow"/>
              </w:rPr>
              <w:t>(e) Except as specified in points (h) and (j), the audit plan should ensure that all aspects of Part-145 compliance are verified every year, including all the subcontracted activities.</w:t>
            </w:r>
            <w:r w:rsidRPr="00127F3A">
              <w:rPr>
                <w:b/>
                <w:bCs/>
              </w:rPr>
              <w:t xml:space="preserve"> </w:t>
            </w:r>
          </w:p>
          <w:p w14:paraId="61DECF0E" w14:textId="77777777" w:rsidR="00127F3A" w:rsidRDefault="00127F3A">
            <w:pPr>
              <w:pStyle w:val="TableParagraph"/>
              <w:ind w:right="248"/>
            </w:pPr>
          </w:p>
          <w:p w14:paraId="7E4C761A" w14:textId="77777777" w:rsidR="00127F3A" w:rsidRDefault="0034509F">
            <w:pPr>
              <w:pStyle w:val="TableParagraph"/>
              <w:ind w:right="248"/>
            </w:pPr>
            <w:r>
              <w:t xml:space="preserve">The auditing may be carried out as a complete single exercise or subdivided over the annual period. </w:t>
            </w:r>
          </w:p>
          <w:p w14:paraId="180BF8E3" w14:textId="77777777" w:rsidR="00127F3A" w:rsidRDefault="00127F3A">
            <w:pPr>
              <w:pStyle w:val="TableParagraph"/>
              <w:ind w:right="248"/>
            </w:pPr>
          </w:p>
          <w:p w14:paraId="1C3E5879" w14:textId="1E57D7A9" w:rsidR="0034509F" w:rsidRDefault="0034509F">
            <w:pPr>
              <w:pStyle w:val="TableParagraph"/>
              <w:ind w:right="248"/>
            </w:pPr>
            <w:r>
              <w:t xml:space="preserve">Where findings have been identified, compliance with the </w:t>
            </w:r>
            <w:proofErr w:type="gramStart"/>
            <w:r>
              <w:t>particular procedure</w:t>
            </w:r>
            <w:proofErr w:type="gramEnd"/>
            <w:r>
              <w:t xml:space="preserve"> should be verified against other product lines until the findings have been closed, after which the independent audit procedure may revert back to a yearly interval for the particular procedure. </w:t>
            </w:r>
          </w:p>
          <w:p w14:paraId="654A07F3" w14:textId="77777777" w:rsidR="0034509F" w:rsidRDefault="0034509F">
            <w:pPr>
              <w:pStyle w:val="TableParagraph"/>
              <w:ind w:right="248"/>
            </w:pPr>
          </w:p>
          <w:p w14:paraId="14E876C5" w14:textId="77777777" w:rsidR="00127F3A" w:rsidRPr="00127F3A" w:rsidRDefault="00127F3A" w:rsidP="0034509F">
            <w:pPr>
              <w:pStyle w:val="TableParagraph"/>
              <w:ind w:right="248"/>
              <w:rPr>
                <w:b/>
                <w:bCs/>
              </w:rPr>
            </w:pPr>
            <w:r w:rsidRPr="00127F3A">
              <w:rPr>
                <w:b/>
                <w:bCs/>
                <w:highlight w:val="yellow"/>
              </w:rPr>
              <w:t>T</w:t>
            </w:r>
            <w:r w:rsidR="0034509F" w:rsidRPr="00127F3A">
              <w:rPr>
                <w:b/>
                <w:bCs/>
                <w:highlight w:val="yellow"/>
              </w:rPr>
              <w:t>he independent audit should sample check one product while undergoing maintenance on each product line every year as a demonstration of compliance with the maintenance procedures and requirements associated with that specific product.</w:t>
            </w:r>
            <w:r w:rsidR="0034509F" w:rsidRPr="00127F3A">
              <w:rPr>
                <w:b/>
                <w:bCs/>
              </w:rPr>
              <w:t xml:space="preserve"> </w:t>
            </w:r>
          </w:p>
          <w:p w14:paraId="5027C20F" w14:textId="77777777" w:rsidR="00127F3A" w:rsidRDefault="00127F3A" w:rsidP="0034509F">
            <w:pPr>
              <w:pStyle w:val="TableParagraph"/>
              <w:ind w:right="248"/>
            </w:pPr>
          </w:p>
          <w:p w14:paraId="2D1FC87C" w14:textId="35210E20" w:rsidR="0034509F" w:rsidRDefault="0034509F" w:rsidP="0034509F">
            <w:pPr>
              <w:pStyle w:val="TableParagraph"/>
              <w:ind w:right="248"/>
            </w:pPr>
            <w:r>
              <w:t xml:space="preserve">This should include </w:t>
            </w:r>
            <w:proofErr w:type="gramStart"/>
            <w:r>
              <w:t>in particular the</w:t>
            </w:r>
            <w:proofErr w:type="gramEnd"/>
            <w:r>
              <w:t xml:space="preserve"> verification of: </w:t>
            </w:r>
          </w:p>
          <w:p w14:paraId="37F12EAD" w14:textId="2CBB6BB5" w:rsidR="0034509F" w:rsidRDefault="0034509F" w:rsidP="0034509F">
            <w:pPr>
              <w:pStyle w:val="TableParagraph"/>
              <w:ind w:left="467" w:right="248"/>
            </w:pPr>
            <w:r>
              <w:t xml:space="preserve">− the maintenance data and compliance with the organisation procedures, including consideration of human factors </w:t>
            </w:r>
            <w:proofErr w:type="gramStart"/>
            <w:r>
              <w:t>issues;</w:t>
            </w:r>
            <w:proofErr w:type="gramEnd"/>
            <w:r>
              <w:t xml:space="preserve"> </w:t>
            </w:r>
          </w:p>
          <w:p w14:paraId="35A325DB" w14:textId="77777777" w:rsidR="0034509F" w:rsidRDefault="0034509F" w:rsidP="0034509F">
            <w:pPr>
              <w:pStyle w:val="TableParagraph"/>
              <w:ind w:left="467" w:right="248"/>
            </w:pPr>
            <w:r>
              <w:t xml:space="preserve">− the facility and maintenance </w:t>
            </w:r>
            <w:proofErr w:type="gramStart"/>
            <w:r>
              <w:t>environment;</w:t>
            </w:r>
            <w:proofErr w:type="gramEnd"/>
          </w:p>
          <w:p w14:paraId="6BFCEC8B" w14:textId="77777777" w:rsidR="0034509F" w:rsidRDefault="0034509F" w:rsidP="0034509F">
            <w:pPr>
              <w:pStyle w:val="TableParagraph"/>
              <w:ind w:left="467" w:right="248"/>
            </w:pPr>
            <w:r>
              <w:t xml:space="preserve">− the standard of inspection and </w:t>
            </w:r>
            <w:proofErr w:type="gramStart"/>
            <w:r>
              <w:t>precautions;</w:t>
            </w:r>
            <w:proofErr w:type="gramEnd"/>
          </w:p>
          <w:p w14:paraId="12B56079" w14:textId="77777777" w:rsidR="0034509F" w:rsidRDefault="0034509F" w:rsidP="0034509F">
            <w:pPr>
              <w:pStyle w:val="TableParagraph"/>
              <w:ind w:left="467" w:right="248"/>
            </w:pPr>
            <w:r>
              <w:t xml:space="preserve"> − the completion of work cards/</w:t>
            </w:r>
            <w:proofErr w:type="gramStart"/>
            <w:r>
              <w:t>worksheet;</w:t>
            </w:r>
            <w:proofErr w:type="gramEnd"/>
            <w:r>
              <w:t xml:space="preserve"> </w:t>
            </w:r>
          </w:p>
          <w:p w14:paraId="3FDB64A5" w14:textId="77777777" w:rsidR="0034509F" w:rsidRDefault="0034509F" w:rsidP="0034509F">
            <w:pPr>
              <w:pStyle w:val="TableParagraph"/>
              <w:ind w:left="467" w:right="248"/>
            </w:pPr>
            <w:r>
              <w:t xml:space="preserve">− the tools and </w:t>
            </w:r>
            <w:proofErr w:type="gramStart"/>
            <w:r>
              <w:t>material;</w:t>
            </w:r>
            <w:proofErr w:type="gramEnd"/>
            <w:r>
              <w:t xml:space="preserve"> </w:t>
            </w:r>
          </w:p>
          <w:p w14:paraId="43A4963C" w14:textId="77777777" w:rsidR="0034509F" w:rsidRDefault="0034509F" w:rsidP="0034509F">
            <w:pPr>
              <w:pStyle w:val="TableParagraph"/>
              <w:ind w:left="467" w:right="248"/>
            </w:pPr>
            <w:r>
              <w:lastRenderedPageBreak/>
              <w:t xml:space="preserve">− the authorisation of the person carrying out maintenance. </w:t>
            </w:r>
          </w:p>
          <w:p w14:paraId="3777D116" w14:textId="77777777" w:rsidR="0034509F" w:rsidRDefault="0034509F" w:rsidP="0034509F">
            <w:pPr>
              <w:pStyle w:val="TableParagraph"/>
              <w:ind w:left="467" w:right="248"/>
            </w:pPr>
          </w:p>
          <w:p w14:paraId="336AFEB0" w14:textId="77777777" w:rsidR="00127F3A" w:rsidRDefault="0034509F" w:rsidP="0034509F">
            <w:pPr>
              <w:pStyle w:val="TableParagraph"/>
              <w:ind w:left="467" w:right="248"/>
            </w:pPr>
            <w:r>
              <w:t xml:space="preserve">(g) The product audit includes witnessing any relevant testing and visually inspecting the product and the associated documentation. </w:t>
            </w:r>
          </w:p>
          <w:p w14:paraId="26DB4453" w14:textId="77777777" w:rsidR="00127F3A" w:rsidRDefault="00127F3A" w:rsidP="0034509F">
            <w:pPr>
              <w:pStyle w:val="TableParagraph"/>
              <w:ind w:left="467" w:right="248"/>
            </w:pPr>
          </w:p>
          <w:p w14:paraId="64EEE5E0" w14:textId="2AB96EC5" w:rsidR="0034509F" w:rsidRDefault="0034509F" w:rsidP="0034509F">
            <w:pPr>
              <w:pStyle w:val="TableParagraph"/>
              <w:ind w:left="467" w:right="248"/>
            </w:pPr>
            <w:r>
              <w:t xml:space="preserve">The product audit should not involve repeated disassembly or testing unless the product audit identifies findings that require such an action. </w:t>
            </w:r>
          </w:p>
          <w:p w14:paraId="58B03911" w14:textId="77777777" w:rsidR="0034509F" w:rsidRDefault="0034509F" w:rsidP="0034509F">
            <w:pPr>
              <w:pStyle w:val="TableParagraph"/>
              <w:ind w:left="467" w:right="248"/>
            </w:pPr>
          </w:p>
          <w:p w14:paraId="7B4F84BA" w14:textId="77777777" w:rsidR="0034509F" w:rsidRDefault="0034509F" w:rsidP="0034509F">
            <w:pPr>
              <w:pStyle w:val="TableParagraph"/>
              <w:ind w:left="467" w:right="248"/>
            </w:pPr>
            <w:r>
              <w:t xml:space="preserve">(h) Except as specified otherwise in point (j), where the organisation contracts the independent audit element of the compliance monitoring function in accordance with point (l), the audit should be carried out twice every year. </w:t>
            </w:r>
          </w:p>
          <w:p w14:paraId="0AD53221" w14:textId="77777777" w:rsidR="0034509F" w:rsidRDefault="0034509F" w:rsidP="0034509F">
            <w:pPr>
              <w:pStyle w:val="TableParagraph"/>
              <w:ind w:left="467" w:right="248"/>
            </w:pPr>
          </w:p>
          <w:p w14:paraId="464AE345" w14:textId="41FDAF2C" w:rsidR="00C518C8" w:rsidRDefault="0034509F" w:rsidP="0034509F">
            <w:pPr>
              <w:pStyle w:val="TableParagraph"/>
              <w:numPr>
                <w:ilvl w:val="0"/>
                <w:numId w:val="19"/>
              </w:numPr>
              <w:ind w:right="248"/>
            </w:pPr>
            <w:r>
              <w:t>Except as specified otherwise in point (j), where the organisation has line stations listed as per point 145.A.75(d), the compliance monitoring documentation should include a description of how these line stations are integrated into the monitoring and include a plan to audit each listed line station at a frequency consistent with the extent of flight activity at the particular line station and the related safety hazards identified. Except as specified otherwise in point (j), the maximum period between audits of a particular line station should not exceed 2 years.</w:t>
            </w:r>
          </w:p>
          <w:p w14:paraId="2A3276C1" w14:textId="77777777" w:rsidR="0034509F" w:rsidRDefault="0034509F" w:rsidP="0034509F">
            <w:pPr>
              <w:pStyle w:val="TableParagraph"/>
              <w:ind w:left="1187" w:right="248"/>
            </w:pPr>
          </w:p>
          <w:p w14:paraId="17F1497B" w14:textId="77777777" w:rsidR="0034509F" w:rsidRPr="006B409A" w:rsidRDefault="0034509F" w:rsidP="0034509F">
            <w:pPr>
              <w:pStyle w:val="TableParagraph"/>
              <w:ind w:right="248"/>
              <w:rPr>
                <w:b/>
                <w:bCs/>
              </w:rPr>
            </w:pPr>
            <w:r w:rsidRPr="006B409A">
              <w:rPr>
                <w:b/>
                <w:bCs/>
                <w:highlight w:val="yellow"/>
              </w:rPr>
              <w:t xml:space="preserve">(j) Except as specified otherwise in point (f), </w:t>
            </w:r>
            <w:proofErr w:type="gramStart"/>
            <w:r w:rsidRPr="006B409A">
              <w:rPr>
                <w:b/>
                <w:bCs/>
                <w:highlight w:val="yellow"/>
              </w:rPr>
              <w:t>provided that</w:t>
            </w:r>
            <w:proofErr w:type="gramEnd"/>
            <w:r w:rsidRPr="006B409A">
              <w:rPr>
                <w:b/>
                <w:bCs/>
                <w:highlight w:val="yellow"/>
              </w:rPr>
              <w:t xml:space="preserve"> there are no safety-related findings, the audit planning cycle specified in this AMC may be increased by up to 100 %, subject to a risk assessment and/or mitigation actions, and agreement by the competent authority.</w:t>
            </w:r>
            <w:r w:rsidRPr="006B409A">
              <w:rPr>
                <w:b/>
                <w:bCs/>
              </w:rPr>
              <w:t xml:space="preserve"> </w:t>
            </w:r>
          </w:p>
          <w:p w14:paraId="7D2CC5E3" w14:textId="77777777" w:rsidR="0034509F" w:rsidRDefault="0034509F" w:rsidP="0034509F">
            <w:pPr>
              <w:pStyle w:val="TableParagraph"/>
              <w:ind w:right="248"/>
            </w:pPr>
          </w:p>
          <w:p w14:paraId="466A92DE" w14:textId="77777777" w:rsidR="0034509F" w:rsidRDefault="0034509F" w:rsidP="0034509F">
            <w:pPr>
              <w:pStyle w:val="TableParagraph"/>
              <w:ind w:right="248"/>
            </w:pPr>
            <w:r>
              <w:t xml:space="preserve">(k) A report should be issued each time an audit is carried out describing what was checked and the resulting non-compliance findings against applicable </w:t>
            </w:r>
            <w:proofErr w:type="gramStart"/>
            <w:r>
              <w:t>requirement</w:t>
            </w:r>
            <w:proofErr w:type="gramEnd"/>
            <w:r>
              <w:t xml:space="preserve"> and procedures. </w:t>
            </w:r>
          </w:p>
          <w:p w14:paraId="39C529D5" w14:textId="77777777" w:rsidR="0034509F" w:rsidRDefault="0034509F" w:rsidP="0034509F">
            <w:pPr>
              <w:pStyle w:val="TableParagraph"/>
              <w:ind w:right="248"/>
            </w:pPr>
          </w:p>
          <w:p w14:paraId="1F9AFB26" w14:textId="77777777" w:rsidR="0034509F" w:rsidRDefault="0034509F" w:rsidP="0034509F">
            <w:pPr>
              <w:pStyle w:val="TableParagraph"/>
              <w:ind w:right="248"/>
            </w:pPr>
            <w:r>
              <w:t xml:space="preserve">(l) Organisations with a maximum of 10 maintenance staff actively engaged in carrying out maintenance may subcontract the whole independent audit element of the compliance monitoring function to another organisation or contract a qualified and competent person to become responsible for </w:t>
            </w:r>
            <w:r>
              <w:lastRenderedPageBreak/>
              <w:t xml:space="preserve">this element, with the agreement of the competent authority. </w:t>
            </w:r>
          </w:p>
          <w:p w14:paraId="2F4642DC" w14:textId="77777777" w:rsidR="0034509F" w:rsidRDefault="0034509F" w:rsidP="0034509F">
            <w:pPr>
              <w:pStyle w:val="TableParagraph"/>
              <w:ind w:right="248"/>
            </w:pPr>
          </w:p>
          <w:p w14:paraId="48DC31B0" w14:textId="17A1A511" w:rsidR="0034509F" w:rsidRDefault="0034509F" w:rsidP="0034509F">
            <w:pPr>
              <w:pStyle w:val="TableParagraph"/>
              <w:ind w:right="248"/>
              <w:rPr>
                <w:sz w:val="24"/>
              </w:rPr>
            </w:pPr>
            <w:r>
              <w:t>This does not prevent a larger organisation from occasionally using external support for conducting particular audits.</w:t>
            </w:r>
          </w:p>
        </w:tc>
        <w:tc>
          <w:tcPr>
            <w:tcW w:w="4203" w:type="dxa"/>
          </w:tcPr>
          <w:p w14:paraId="426AF774" w14:textId="77777777" w:rsidR="00C518C8" w:rsidRDefault="00C518C8">
            <w:pPr>
              <w:pStyle w:val="TableParagraph"/>
              <w:ind w:left="0"/>
              <w:rPr>
                <w:rFonts w:ascii="Times New Roman"/>
                <w:sz w:val="24"/>
              </w:rPr>
            </w:pPr>
          </w:p>
        </w:tc>
      </w:tr>
      <w:tr w:rsidR="00C518C8" w14:paraId="094DE36C" w14:textId="77777777">
        <w:trPr>
          <w:trHeight w:val="1379"/>
        </w:trPr>
        <w:tc>
          <w:tcPr>
            <w:tcW w:w="4815" w:type="dxa"/>
          </w:tcPr>
          <w:p w14:paraId="52DEC256" w14:textId="325DA203" w:rsidR="0034509F" w:rsidRDefault="0034509F">
            <w:pPr>
              <w:pStyle w:val="TableParagraph"/>
              <w:ind w:right="248"/>
            </w:pPr>
            <w:r w:rsidRPr="0034509F">
              <w:rPr>
                <w:b/>
                <w:bCs/>
              </w:rPr>
              <w:lastRenderedPageBreak/>
              <w:t xml:space="preserve">AMC3 145.A.200(a)(6) Management </w:t>
            </w:r>
            <w:proofErr w:type="gramStart"/>
            <w:r w:rsidRPr="0034509F">
              <w:rPr>
                <w:b/>
                <w:bCs/>
              </w:rPr>
              <w:t xml:space="preserve">system </w:t>
            </w:r>
            <w:r w:rsidR="00EC44E3">
              <w:rPr>
                <w:b/>
                <w:bCs/>
              </w:rPr>
              <w:t xml:space="preserve"> </w:t>
            </w:r>
            <w:r>
              <w:t>ED</w:t>
            </w:r>
            <w:proofErr w:type="gramEnd"/>
            <w:r>
              <w:t xml:space="preserve"> Decision 2022/011/R </w:t>
            </w:r>
          </w:p>
          <w:p w14:paraId="0B557E42" w14:textId="77777777" w:rsidR="0034509F" w:rsidRDefault="0034509F">
            <w:pPr>
              <w:pStyle w:val="TableParagraph"/>
              <w:ind w:right="248"/>
            </w:pPr>
          </w:p>
          <w:p w14:paraId="699CE1F1" w14:textId="77777777" w:rsidR="0034509F" w:rsidRDefault="0034509F">
            <w:pPr>
              <w:pStyle w:val="TableParagraph"/>
              <w:ind w:right="248"/>
            </w:pPr>
            <w:r>
              <w:t xml:space="preserve">COMPLIANCE MONITORING — CONTRACTING OF THE INDEPENDENT AUDIT </w:t>
            </w:r>
          </w:p>
          <w:p w14:paraId="622EC014" w14:textId="77777777" w:rsidR="0034509F" w:rsidRDefault="0034509F">
            <w:pPr>
              <w:pStyle w:val="TableParagraph"/>
              <w:ind w:right="248"/>
            </w:pPr>
          </w:p>
          <w:p w14:paraId="277FCFD3" w14:textId="77777777" w:rsidR="0034509F" w:rsidRDefault="0034509F">
            <w:pPr>
              <w:pStyle w:val="TableParagraph"/>
              <w:ind w:right="248"/>
            </w:pPr>
            <w:r>
              <w:t xml:space="preserve">(a) If external personnel are used to perform independent audits: </w:t>
            </w:r>
          </w:p>
          <w:p w14:paraId="5FA94778" w14:textId="77777777" w:rsidR="0034509F" w:rsidRDefault="0034509F">
            <w:pPr>
              <w:pStyle w:val="TableParagraph"/>
              <w:ind w:right="248"/>
            </w:pPr>
            <w:r>
              <w:t xml:space="preserve">(1) any such audits should be performed under the responsibility of the compliance monitoring manager; and </w:t>
            </w:r>
          </w:p>
          <w:p w14:paraId="177091EE" w14:textId="77777777" w:rsidR="0034509F" w:rsidRDefault="0034509F">
            <w:pPr>
              <w:pStyle w:val="TableParagraph"/>
              <w:ind w:right="248"/>
            </w:pPr>
            <w:r>
              <w:t xml:space="preserve">(2) the organisation remains responsible for ensuring that the external personnel have the relevant knowledge, background, and experience that are appropriate to the activities being audited, including knowledge and experience in compliance monitoring. </w:t>
            </w:r>
          </w:p>
          <w:p w14:paraId="5C91D8C1" w14:textId="77777777" w:rsidR="0034509F" w:rsidRDefault="0034509F">
            <w:pPr>
              <w:pStyle w:val="TableParagraph"/>
              <w:ind w:right="248"/>
            </w:pPr>
          </w:p>
          <w:p w14:paraId="43F9054E" w14:textId="549B156D" w:rsidR="00C518C8" w:rsidRDefault="0034509F">
            <w:pPr>
              <w:pStyle w:val="TableParagraph"/>
              <w:ind w:right="248"/>
              <w:rPr>
                <w:sz w:val="24"/>
              </w:rPr>
            </w:pPr>
            <w:r>
              <w:t xml:space="preserve">(b) The organisation retains the ultimate responsibility for the effectiveness of the compliance monitoring function, </w:t>
            </w:r>
            <w:proofErr w:type="gramStart"/>
            <w:r>
              <w:t>in particular for</w:t>
            </w:r>
            <w:proofErr w:type="gramEnd"/>
            <w:r>
              <w:t xml:space="preserve"> the effective implementation and follow-up of all corrective actions.</w:t>
            </w:r>
          </w:p>
        </w:tc>
        <w:tc>
          <w:tcPr>
            <w:tcW w:w="4203" w:type="dxa"/>
          </w:tcPr>
          <w:p w14:paraId="434D58A1" w14:textId="77777777" w:rsidR="00C518C8" w:rsidRDefault="00C518C8">
            <w:pPr>
              <w:pStyle w:val="TableParagraph"/>
              <w:ind w:left="0"/>
              <w:rPr>
                <w:rFonts w:ascii="Times New Roman"/>
                <w:sz w:val="24"/>
              </w:rPr>
            </w:pPr>
          </w:p>
        </w:tc>
      </w:tr>
      <w:tr w:rsidR="00C518C8" w14:paraId="7A14FA63" w14:textId="77777777">
        <w:trPr>
          <w:trHeight w:val="1379"/>
        </w:trPr>
        <w:tc>
          <w:tcPr>
            <w:tcW w:w="4815" w:type="dxa"/>
          </w:tcPr>
          <w:p w14:paraId="236DE29C" w14:textId="6F017172" w:rsidR="000469D5" w:rsidRDefault="0034509F">
            <w:pPr>
              <w:pStyle w:val="TableParagraph"/>
              <w:ind w:right="248"/>
            </w:pPr>
            <w:r w:rsidRPr="000469D5">
              <w:rPr>
                <w:b/>
                <w:bCs/>
              </w:rPr>
              <w:t>AMC4 145.A.200(a)(6) Management system</w:t>
            </w:r>
            <w:r w:rsidR="00EC44E3">
              <w:rPr>
                <w:b/>
                <w:bCs/>
              </w:rPr>
              <w:t xml:space="preserve"> </w:t>
            </w:r>
            <w:r>
              <w:t xml:space="preserve">ED Decision 2022/011/R </w:t>
            </w:r>
          </w:p>
          <w:p w14:paraId="6553EACA" w14:textId="77777777" w:rsidR="000469D5" w:rsidRDefault="000469D5">
            <w:pPr>
              <w:pStyle w:val="TableParagraph"/>
              <w:ind w:right="248"/>
            </w:pPr>
          </w:p>
          <w:p w14:paraId="3D212DFA" w14:textId="499B4932" w:rsidR="0034509F" w:rsidRDefault="0034509F">
            <w:pPr>
              <w:pStyle w:val="TableParagraph"/>
              <w:ind w:right="248"/>
            </w:pPr>
            <w:r>
              <w:t xml:space="preserve">COMPLIANCE MONITORING — FEEDBACK SYSTEM </w:t>
            </w:r>
          </w:p>
          <w:p w14:paraId="025C438C" w14:textId="77777777" w:rsidR="0034509F" w:rsidRDefault="0034509F">
            <w:pPr>
              <w:pStyle w:val="TableParagraph"/>
              <w:ind w:right="248"/>
            </w:pPr>
          </w:p>
          <w:p w14:paraId="6BEEDBF5" w14:textId="77777777" w:rsidR="0034509F" w:rsidRDefault="0034509F">
            <w:pPr>
              <w:pStyle w:val="TableParagraph"/>
              <w:ind w:right="248"/>
            </w:pPr>
            <w:r>
              <w:t xml:space="preserve">(a) Another essential element of the compliance monitoring function is the feedback system. </w:t>
            </w:r>
          </w:p>
          <w:p w14:paraId="54991E44" w14:textId="77777777" w:rsidR="0034509F" w:rsidRDefault="0034509F">
            <w:pPr>
              <w:pStyle w:val="TableParagraph"/>
              <w:ind w:right="248"/>
            </w:pPr>
          </w:p>
          <w:p w14:paraId="3604C58F" w14:textId="77777777" w:rsidR="0034509F" w:rsidRDefault="0034509F">
            <w:pPr>
              <w:pStyle w:val="TableParagraph"/>
              <w:ind w:right="248"/>
            </w:pPr>
            <w:r>
              <w:t xml:space="preserve">(b) The feedback system should not be contracted to external persons or organisations. </w:t>
            </w:r>
          </w:p>
          <w:p w14:paraId="76083E2F" w14:textId="77777777" w:rsidR="0034509F" w:rsidRDefault="0034509F">
            <w:pPr>
              <w:pStyle w:val="TableParagraph"/>
              <w:ind w:right="248"/>
            </w:pPr>
          </w:p>
          <w:p w14:paraId="71B3B0AE" w14:textId="77777777" w:rsidR="00EC44E3" w:rsidRPr="00EC44E3" w:rsidRDefault="0034509F">
            <w:pPr>
              <w:pStyle w:val="TableParagraph"/>
              <w:ind w:right="248"/>
              <w:rPr>
                <w:b/>
                <w:bCs/>
              </w:rPr>
            </w:pPr>
            <w:r w:rsidRPr="00EC44E3">
              <w:rPr>
                <w:b/>
                <w:bCs/>
                <w:highlight w:val="yellow"/>
              </w:rPr>
              <w:t>(c) When a non-compliance is found, the compliance monitoring function should ensure that the root cause(s) and contributing factor(s) are identified (see GM1 145.A.95), and that corrective actions are defined.</w:t>
            </w:r>
            <w:r w:rsidRPr="00EC44E3">
              <w:rPr>
                <w:b/>
                <w:bCs/>
              </w:rPr>
              <w:t xml:space="preserve"> </w:t>
            </w:r>
          </w:p>
          <w:p w14:paraId="028ABDAD" w14:textId="77777777" w:rsidR="00EC44E3" w:rsidRDefault="00EC44E3">
            <w:pPr>
              <w:pStyle w:val="TableParagraph"/>
              <w:ind w:right="248"/>
            </w:pPr>
          </w:p>
          <w:p w14:paraId="3884F6EA" w14:textId="77777777" w:rsidR="00EC44E3" w:rsidRDefault="0034509F" w:rsidP="00EC44E3">
            <w:pPr>
              <w:pStyle w:val="TableParagraph"/>
              <w:numPr>
                <w:ilvl w:val="0"/>
                <w:numId w:val="42"/>
              </w:numPr>
              <w:ind w:right="248"/>
            </w:pPr>
            <w:r>
              <w:t xml:space="preserve">The feedback part of the compliance monitoring function should define who is required to address any non-compliance in each </w:t>
            </w:r>
            <w:proofErr w:type="gramStart"/>
            <w:r>
              <w:t>particular case</w:t>
            </w:r>
            <w:proofErr w:type="gramEnd"/>
            <w:r>
              <w:t xml:space="preserve">, and the procedure to be followed if the corrective action is not completed within the defined time frame. </w:t>
            </w:r>
          </w:p>
          <w:p w14:paraId="2D1D5971" w14:textId="77777777" w:rsidR="00EC44E3" w:rsidRDefault="00EC44E3">
            <w:pPr>
              <w:pStyle w:val="TableParagraph"/>
              <w:ind w:right="248"/>
            </w:pPr>
          </w:p>
          <w:p w14:paraId="5B122C4C" w14:textId="77777777" w:rsidR="00EC44E3" w:rsidRDefault="00EC44E3">
            <w:pPr>
              <w:pStyle w:val="TableParagraph"/>
              <w:ind w:right="248"/>
            </w:pPr>
          </w:p>
          <w:p w14:paraId="6CB67FC4" w14:textId="59FD0769" w:rsidR="0034509F" w:rsidRDefault="0034509F" w:rsidP="00EC44E3">
            <w:pPr>
              <w:pStyle w:val="TableParagraph"/>
              <w:numPr>
                <w:ilvl w:val="0"/>
                <w:numId w:val="42"/>
              </w:numPr>
              <w:ind w:right="248"/>
            </w:pPr>
            <w:r>
              <w:t xml:space="preserve">The principal functions of the feedback system are to ensure that all findings resulting from the independent audits of the organisation are properly investigated and corrected in a timely manner, and to enable the accountable manager to be kept informed of safety issues and the extent of compliance with Part-145. </w:t>
            </w:r>
          </w:p>
          <w:p w14:paraId="187A260E" w14:textId="77777777" w:rsidR="0034509F" w:rsidRDefault="0034509F">
            <w:pPr>
              <w:pStyle w:val="TableParagraph"/>
              <w:ind w:right="248"/>
            </w:pPr>
          </w:p>
          <w:p w14:paraId="054450DB" w14:textId="77777777" w:rsidR="00EC44E3" w:rsidRDefault="0034509F">
            <w:pPr>
              <w:pStyle w:val="TableParagraph"/>
              <w:ind w:right="248"/>
            </w:pPr>
            <w:r>
              <w:t xml:space="preserve">(d) The independent audit reports referred to in AMC2 145.A.200(a)(6) should be sent to the relevant department(s) for corrective action, giving target closure dates. </w:t>
            </w:r>
          </w:p>
          <w:p w14:paraId="7BFD237A" w14:textId="77777777" w:rsidR="00EC44E3" w:rsidRDefault="00EC44E3">
            <w:pPr>
              <w:pStyle w:val="TableParagraph"/>
              <w:ind w:right="248"/>
            </w:pPr>
          </w:p>
          <w:p w14:paraId="711F27F2" w14:textId="77777777" w:rsidR="00EC44E3" w:rsidRDefault="0034509F">
            <w:pPr>
              <w:pStyle w:val="TableParagraph"/>
              <w:ind w:right="248"/>
            </w:pPr>
            <w:r>
              <w:t xml:space="preserve">These target dates should be discussed with the relevant department(s) before the compliance monitoring function confirms the dates in the report. </w:t>
            </w:r>
          </w:p>
          <w:p w14:paraId="338F6368" w14:textId="77777777" w:rsidR="00EC44E3" w:rsidRDefault="00EC44E3">
            <w:pPr>
              <w:pStyle w:val="TableParagraph"/>
              <w:ind w:right="248"/>
            </w:pPr>
          </w:p>
          <w:p w14:paraId="302435F4" w14:textId="534C5CC2" w:rsidR="0034509F" w:rsidRDefault="0034509F">
            <w:pPr>
              <w:pStyle w:val="TableParagraph"/>
              <w:ind w:right="248"/>
            </w:pPr>
            <w:r>
              <w:t xml:space="preserve">The relevant department(s) is (are) required to implement the corrective action and inform the compliance monitoring function of the status of the implementation of the action. </w:t>
            </w:r>
          </w:p>
          <w:p w14:paraId="6007D146" w14:textId="77777777" w:rsidR="0034509F" w:rsidRDefault="0034509F">
            <w:pPr>
              <w:pStyle w:val="TableParagraph"/>
              <w:ind w:right="248"/>
            </w:pPr>
          </w:p>
          <w:p w14:paraId="5FB8E94A" w14:textId="77777777" w:rsidR="00EC44E3" w:rsidRDefault="0034509F">
            <w:pPr>
              <w:pStyle w:val="TableParagraph"/>
              <w:ind w:right="248"/>
            </w:pPr>
            <w:r>
              <w:t xml:space="preserve">(e) Unless the review of the results from compliance monitoring is given to the safety review board (ref. AMC1 145.A.200(a)(1) point (b)(4)), the accountable manager should hold regular meetings with staff to check the progress of corrective actions. </w:t>
            </w:r>
          </w:p>
          <w:p w14:paraId="04808271" w14:textId="77777777" w:rsidR="00EC44E3" w:rsidRDefault="00EC44E3">
            <w:pPr>
              <w:pStyle w:val="TableParagraph"/>
              <w:ind w:right="248"/>
            </w:pPr>
          </w:p>
          <w:p w14:paraId="0686BEBD" w14:textId="53DA9B31" w:rsidR="0034509F" w:rsidRPr="00EC44E3" w:rsidRDefault="0034509F">
            <w:pPr>
              <w:pStyle w:val="TableParagraph"/>
              <w:ind w:right="248"/>
              <w:rPr>
                <w:b/>
                <w:bCs/>
              </w:rPr>
            </w:pPr>
            <w:r w:rsidRPr="00EC44E3">
              <w:rPr>
                <w:b/>
                <w:bCs/>
                <w:highlight w:val="yellow"/>
              </w:rPr>
              <w:t>These meetings may be delegated to the compliance monitoring manager on a day-to-day basis, provided that the accountable manager:</w:t>
            </w:r>
            <w:r w:rsidRPr="00EC44E3">
              <w:rPr>
                <w:b/>
                <w:bCs/>
              </w:rPr>
              <w:t xml:space="preserve"> </w:t>
            </w:r>
          </w:p>
          <w:p w14:paraId="6C5027FD" w14:textId="77777777" w:rsidR="0034509F" w:rsidRDefault="0034509F">
            <w:pPr>
              <w:pStyle w:val="TableParagraph"/>
              <w:ind w:right="248"/>
            </w:pPr>
          </w:p>
          <w:p w14:paraId="58347740" w14:textId="77777777" w:rsidR="0034509F" w:rsidRDefault="0034509F">
            <w:pPr>
              <w:pStyle w:val="TableParagraph"/>
              <w:ind w:right="248"/>
            </w:pPr>
            <w:r>
              <w:t xml:space="preserve">(1) meets the senior staff involved at least twice per year to review the overall performance of the compliance monitoring function; and </w:t>
            </w:r>
          </w:p>
          <w:p w14:paraId="1106321F" w14:textId="77777777" w:rsidR="0034509F" w:rsidRDefault="0034509F">
            <w:pPr>
              <w:pStyle w:val="TableParagraph"/>
              <w:ind w:right="248"/>
            </w:pPr>
          </w:p>
          <w:p w14:paraId="4178A7E7" w14:textId="77777777" w:rsidR="0034509F" w:rsidRDefault="0034509F">
            <w:pPr>
              <w:pStyle w:val="TableParagraph"/>
              <w:ind w:right="248"/>
            </w:pPr>
            <w:r>
              <w:t xml:space="preserve">(2) receives at least a half-yearly summary report on non-compliance findings. </w:t>
            </w:r>
          </w:p>
          <w:p w14:paraId="1ABC424A" w14:textId="77777777" w:rsidR="0034509F" w:rsidRDefault="0034509F">
            <w:pPr>
              <w:pStyle w:val="TableParagraph"/>
              <w:ind w:right="248"/>
            </w:pPr>
          </w:p>
          <w:p w14:paraId="04EE3EE5" w14:textId="4CCE205C" w:rsidR="00C518C8" w:rsidRDefault="0034509F">
            <w:pPr>
              <w:pStyle w:val="TableParagraph"/>
              <w:ind w:right="248"/>
              <w:rPr>
                <w:sz w:val="24"/>
              </w:rPr>
            </w:pPr>
            <w:r>
              <w:t>(f) All records pertaining to the independent audit and the feedback system should be retained for the period specified in point 145.A.55(c) or for such periods as to support changes to the audit planning cycle in accordance with AMC2 145.A.200(a)(6), whichever is the longer.</w:t>
            </w:r>
          </w:p>
        </w:tc>
        <w:tc>
          <w:tcPr>
            <w:tcW w:w="4203" w:type="dxa"/>
          </w:tcPr>
          <w:p w14:paraId="42EF86D9" w14:textId="77777777" w:rsidR="00C518C8" w:rsidRDefault="00C518C8">
            <w:pPr>
              <w:pStyle w:val="TableParagraph"/>
              <w:ind w:left="0"/>
              <w:rPr>
                <w:rFonts w:ascii="Times New Roman"/>
                <w:sz w:val="24"/>
              </w:rPr>
            </w:pPr>
          </w:p>
        </w:tc>
      </w:tr>
      <w:tr w:rsidR="00C518C8" w14:paraId="26359B37" w14:textId="77777777">
        <w:trPr>
          <w:trHeight w:val="1379"/>
        </w:trPr>
        <w:tc>
          <w:tcPr>
            <w:tcW w:w="4815" w:type="dxa"/>
          </w:tcPr>
          <w:p w14:paraId="1FD89403" w14:textId="77777777" w:rsidR="0034509F" w:rsidRDefault="0034509F">
            <w:pPr>
              <w:pStyle w:val="TableParagraph"/>
              <w:ind w:right="248"/>
            </w:pPr>
            <w:r w:rsidRPr="0034509F">
              <w:rPr>
                <w:b/>
                <w:bCs/>
              </w:rPr>
              <w:t>GM1 145.A.200(a)(6) Management system</w:t>
            </w:r>
            <w:r>
              <w:t xml:space="preserve"> ED Decision 2022/011/R </w:t>
            </w:r>
          </w:p>
          <w:p w14:paraId="38CE80F4" w14:textId="77777777" w:rsidR="0034509F" w:rsidRDefault="0034509F">
            <w:pPr>
              <w:pStyle w:val="TableParagraph"/>
              <w:ind w:right="248"/>
            </w:pPr>
          </w:p>
          <w:p w14:paraId="62120F9A" w14:textId="77777777" w:rsidR="0034509F" w:rsidRDefault="0034509F">
            <w:pPr>
              <w:pStyle w:val="TableParagraph"/>
              <w:ind w:right="248"/>
            </w:pPr>
            <w:r>
              <w:t xml:space="preserve">COMPLIANCE MONITORING FUNCTION </w:t>
            </w:r>
          </w:p>
          <w:p w14:paraId="55055567" w14:textId="77777777" w:rsidR="0034509F" w:rsidRDefault="0034509F">
            <w:pPr>
              <w:pStyle w:val="TableParagraph"/>
              <w:ind w:right="248"/>
            </w:pPr>
          </w:p>
          <w:p w14:paraId="42A88F04" w14:textId="77777777" w:rsidR="00EC44E3" w:rsidRDefault="0034509F">
            <w:pPr>
              <w:pStyle w:val="TableParagraph"/>
              <w:ind w:right="248"/>
            </w:pPr>
            <w:r>
              <w:lastRenderedPageBreak/>
              <w:t xml:space="preserve">The compliance monitoring function is one of the elements that is required to </w:t>
            </w:r>
            <w:proofErr w:type="gramStart"/>
            <w:r>
              <w:t>be in compliance with</w:t>
            </w:r>
            <w:proofErr w:type="gramEnd"/>
            <w:r>
              <w:t xml:space="preserve"> the applicable requirements. </w:t>
            </w:r>
          </w:p>
          <w:p w14:paraId="66938171" w14:textId="77777777" w:rsidR="00EC44E3" w:rsidRDefault="00EC44E3">
            <w:pPr>
              <w:pStyle w:val="TableParagraph"/>
              <w:ind w:right="248"/>
            </w:pPr>
          </w:p>
          <w:p w14:paraId="51C47D99" w14:textId="578363AB" w:rsidR="00C518C8" w:rsidRDefault="0034509F">
            <w:pPr>
              <w:pStyle w:val="TableParagraph"/>
              <w:ind w:right="248"/>
            </w:pPr>
            <w:r w:rsidRPr="00EC44E3">
              <w:rPr>
                <w:highlight w:val="yellow"/>
              </w:rPr>
              <w:t>This means that the compliance monitoring function itself should be subject to independent monitoring of compliance in accordance with 145.A.200(a)(6).</w:t>
            </w:r>
          </w:p>
          <w:p w14:paraId="078A293B" w14:textId="6535F558" w:rsidR="000469D5" w:rsidRDefault="000469D5">
            <w:pPr>
              <w:pStyle w:val="TableParagraph"/>
              <w:ind w:right="248"/>
              <w:rPr>
                <w:sz w:val="24"/>
              </w:rPr>
            </w:pPr>
          </w:p>
        </w:tc>
        <w:tc>
          <w:tcPr>
            <w:tcW w:w="4203" w:type="dxa"/>
          </w:tcPr>
          <w:p w14:paraId="5A5C6904" w14:textId="77777777" w:rsidR="00C518C8" w:rsidRDefault="00C518C8">
            <w:pPr>
              <w:pStyle w:val="TableParagraph"/>
              <w:ind w:left="0"/>
              <w:rPr>
                <w:rFonts w:ascii="Times New Roman"/>
                <w:sz w:val="24"/>
              </w:rPr>
            </w:pPr>
          </w:p>
        </w:tc>
      </w:tr>
      <w:tr w:rsidR="0034509F" w14:paraId="5DBBD8B0" w14:textId="77777777">
        <w:trPr>
          <w:trHeight w:val="1379"/>
        </w:trPr>
        <w:tc>
          <w:tcPr>
            <w:tcW w:w="4815" w:type="dxa"/>
          </w:tcPr>
          <w:p w14:paraId="674C0E25" w14:textId="77777777" w:rsidR="000469D5" w:rsidRDefault="000469D5" w:rsidP="000469D5">
            <w:pPr>
              <w:pStyle w:val="TableParagraph"/>
              <w:ind w:right="248"/>
              <w:rPr>
                <w:sz w:val="24"/>
              </w:rPr>
            </w:pPr>
            <w:r>
              <w:t>GM2 145.A.200(a)(6) Management system</w:t>
            </w:r>
          </w:p>
          <w:p w14:paraId="6BC797E7" w14:textId="77777777" w:rsidR="000469D5" w:rsidRDefault="000469D5" w:rsidP="000469D5">
            <w:pPr>
              <w:pStyle w:val="TableParagraph"/>
              <w:ind w:right="248"/>
            </w:pPr>
            <w:r>
              <w:t xml:space="preserve">COMPLIANCE MONITORING — AUDIT PLAN </w:t>
            </w:r>
          </w:p>
          <w:p w14:paraId="140ADBF9" w14:textId="77777777" w:rsidR="00EC44E3" w:rsidRDefault="00EC44E3" w:rsidP="000469D5">
            <w:pPr>
              <w:pStyle w:val="TableParagraph"/>
              <w:ind w:right="248"/>
            </w:pPr>
          </w:p>
          <w:p w14:paraId="0D1F96B7" w14:textId="77777777" w:rsidR="00EC44E3" w:rsidRDefault="000469D5" w:rsidP="000469D5">
            <w:pPr>
              <w:pStyle w:val="TableParagraph"/>
              <w:numPr>
                <w:ilvl w:val="0"/>
                <w:numId w:val="16"/>
              </w:numPr>
              <w:ind w:right="248"/>
            </w:pPr>
            <w:r>
              <w:t xml:space="preserve">The purpose of this GM is to provide guidance on one acceptable working audit plan to meet part of the needs of point 145.A.200(a)(6). </w:t>
            </w:r>
          </w:p>
          <w:p w14:paraId="79A6F21E" w14:textId="77777777" w:rsidR="00EC44E3" w:rsidRDefault="00EC44E3" w:rsidP="00EC44E3">
            <w:pPr>
              <w:pStyle w:val="TableParagraph"/>
              <w:ind w:left="467" w:right="248"/>
            </w:pPr>
          </w:p>
          <w:p w14:paraId="631B596C" w14:textId="7FA58D03" w:rsidR="000469D5" w:rsidRDefault="000469D5" w:rsidP="000469D5">
            <w:pPr>
              <w:pStyle w:val="TableParagraph"/>
              <w:numPr>
                <w:ilvl w:val="0"/>
                <w:numId w:val="16"/>
              </w:numPr>
              <w:ind w:right="248"/>
            </w:pPr>
            <w:r>
              <w:t xml:space="preserve">There </w:t>
            </w:r>
            <w:proofErr w:type="gramStart"/>
            <w:r>
              <w:t>is</w:t>
            </w:r>
            <w:proofErr w:type="gramEnd"/>
            <w:r>
              <w:t xml:space="preserve"> any number of other acceptable working audit plans. </w:t>
            </w:r>
          </w:p>
          <w:p w14:paraId="2B4282A4" w14:textId="77777777" w:rsidR="000469D5" w:rsidRDefault="000469D5" w:rsidP="000469D5">
            <w:pPr>
              <w:pStyle w:val="TableParagraph"/>
              <w:ind w:left="467" w:right="248"/>
            </w:pPr>
          </w:p>
          <w:p w14:paraId="319A9177" w14:textId="77777777" w:rsidR="000469D5" w:rsidRDefault="000469D5" w:rsidP="000469D5">
            <w:pPr>
              <w:pStyle w:val="TableParagraph"/>
              <w:numPr>
                <w:ilvl w:val="0"/>
                <w:numId w:val="16"/>
              </w:numPr>
              <w:ind w:right="248"/>
            </w:pPr>
            <w:r>
              <w:t xml:space="preserve">The audits described in the audit plan are intended to monitor compliance with the applicable requirements, and at the same time to review all areas of the organisation to which those requirements are applicable. </w:t>
            </w:r>
          </w:p>
          <w:p w14:paraId="11CB4B70" w14:textId="77777777" w:rsidR="000469D5" w:rsidRDefault="000469D5" w:rsidP="000469D5">
            <w:pPr>
              <w:pStyle w:val="ListParagraph"/>
            </w:pPr>
          </w:p>
          <w:p w14:paraId="3F19CCEC" w14:textId="77777777" w:rsidR="000469D5" w:rsidRDefault="000469D5" w:rsidP="000469D5">
            <w:pPr>
              <w:pStyle w:val="TableParagraph"/>
              <w:ind w:left="467" w:right="248"/>
            </w:pPr>
          </w:p>
          <w:p w14:paraId="5ABC2AEF" w14:textId="77777777" w:rsidR="00EC44E3" w:rsidRDefault="000469D5" w:rsidP="000469D5">
            <w:pPr>
              <w:pStyle w:val="TableParagraph"/>
              <w:numPr>
                <w:ilvl w:val="0"/>
                <w:numId w:val="16"/>
              </w:numPr>
              <w:ind w:right="248"/>
            </w:pPr>
            <w:proofErr w:type="gramStart"/>
            <w:r>
              <w:t>In order to</w:t>
            </w:r>
            <w:proofErr w:type="gramEnd"/>
            <w:r>
              <w:t xml:space="preserve"> achieve this objective, as a first element, the organisation needs to identify all the regulatory requirements that are applicable to the activity and the scope of work under consideration, to allow the audit plan to focus on the relevant topics. </w:t>
            </w:r>
          </w:p>
          <w:p w14:paraId="36334BE2" w14:textId="77777777" w:rsidR="00EC44E3" w:rsidRDefault="00EC44E3" w:rsidP="00EC44E3">
            <w:pPr>
              <w:pStyle w:val="TableParagraph"/>
              <w:ind w:right="248"/>
            </w:pPr>
          </w:p>
          <w:p w14:paraId="4C9945FB" w14:textId="77777777" w:rsidR="00EC44E3" w:rsidRDefault="000469D5" w:rsidP="000469D5">
            <w:pPr>
              <w:pStyle w:val="TableParagraph"/>
              <w:numPr>
                <w:ilvl w:val="0"/>
                <w:numId w:val="16"/>
              </w:numPr>
              <w:ind w:right="248"/>
            </w:pPr>
            <w:r>
              <w:t>Each topic (</w:t>
            </w:r>
            <w:proofErr w:type="gramStart"/>
            <w:r>
              <w:t>e.g.</w:t>
            </w:r>
            <w:proofErr w:type="gramEnd"/>
            <w:r>
              <w:t xml:space="preserve"> facilities, personnel, etc.) should be cross-</w:t>
            </w:r>
            <w:proofErr w:type="gramStart"/>
            <w:r>
              <w:t>referred</w:t>
            </w:r>
            <w:proofErr w:type="gramEnd"/>
            <w:r>
              <w:t xml:space="preserve"> with the relevant requirement and the related procedure of the organisation in the exposition that describes the particular topic. </w:t>
            </w:r>
          </w:p>
          <w:p w14:paraId="412CE1AA" w14:textId="77777777" w:rsidR="00EC44E3" w:rsidRDefault="00EC44E3" w:rsidP="00EC44E3">
            <w:pPr>
              <w:pStyle w:val="TableParagraph"/>
              <w:ind w:left="467" w:right="248"/>
            </w:pPr>
          </w:p>
          <w:p w14:paraId="5BD74D47" w14:textId="2F1E86FA" w:rsidR="000469D5" w:rsidRDefault="000469D5" w:rsidP="000469D5">
            <w:pPr>
              <w:pStyle w:val="TableParagraph"/>
              <w:numPr>
                <w:ilvl w:val="0"/>
                <w:numId w:val="16"/>
              </w:numPr>
              <w:ind w:right="248"/>
            </w:pPr>
            <w:r>
              <w:t xml:space="preserve">If the organisation follows a specific means of compliance to demonstrate compliance with the rule, that information may also be stated. </w:t>
            </w:r>
          </w:p>
          <w:p w14:paraId="6DBC8AEF" w14:textId="77777777" w:rsidR="000469D5" w:rsidRDefault="000469D5" w:rsidP="000469D5">
            <w:pPr>
              <w:pStyle w:val="TableParagraph"/>
              <w:ind w:left="467" w:right="248"/>
            </w:pPr>
          </w:p>
          <w:p w14:paraId="752AF379" w14:textId="77777777" w:rsidR="000469D5" w:rsidRDefault="000469D5" w:rsidP="000469D5">
            <w:pPr>
              <w:pStyle w:val="TableParagraph"/>
              <w:numPr>
                <w:ilvl w:val="0"/>
                <w:numId w:val="16"/>
              </w:numPr>
              <w:ind w:right="248"/>
            </w:pPr>
            <w:r>
              <w:t>As a second element, all the functional areas of the organisation in which Part-145 functions are intended to be carried out (</w:t>
            </w:r>
            <w:proofErr w:type="gramStart"/>
            <w:r>
              <w:t>i.e.</w:t>
            </w:r>
            <w:proofErr w:type="gramEnd"/>
            <w:r>
              <w:t xml:space="preserve"> the types of maintenance-related activities), including subcontracting, need to be listed in order to identify the applicability of any topic to each functional area. </w:t>
            </w:r>
          </w:p>
          <w:p w14:paraId="0BCB6484" w14:textId="77777777" w:rsidR="000469D5" w:rsidRDefault="000469D5" w:rsidP="000469D5">
            <w:pPr>
              <w:pStyle w:val="TableParagraph"/>
              <w:ind w:left="0" w:right="248"/>
            </w:pPr>
          </w:p>
          <w:p w14:paraId="52D030E1" w14:textId="77777777" w:rsidR="00EC44E3" w:rsidRDefault="000469D5" w:rsidP="000469D5">
            <w:pPr>
              <w:pStyle w:val="TableParagraph"/>
              <w:numPr>
                <w:ilvl w:val="0"/>
                <w:numId w:val="16"/>
              </w:numPr>
              <w:ind w:right="248"/>
            </w:pPr>
            <w:r>
              <w:t xml:space="preserve">The audit plan can be presented as a simplified schedule (see below), showing </w:t>
            </w:r>
            <w:r>
              <w:lastRenderedPageBreak/>
              <w:t>the operational areas of the organisation (</w:t>
            </w:r>
            <w:proofErr w:type="gramStart"/>
            <w:r>
              <w:t>i.e.</w:t>
            </w:r>
            <w:proofErr w:type="gramEnd"/>
            <w:r>
              <w:t xml:space="preserve"> where the maintenance-related activities are effectively carried out) against a timetable to indicate when each particular area was scheduled for audit and when the audit was completed. </w:t>
            </w:r>
          </w:p>
          <w:p w14:paraId="6D06619C" w14:textId="77777777" w:rsidR="00EC44E3" w:rsidRDefault="00EC44E3" w:rsidP="00EC44E3">
            <w:pPr>
              <w:pStyle w:val="TableParagraph"/>
              <w:ind w:left="467" w:right="248"/>
            </w:pPr>
          </w:p>
          <w:p w14:paraId="34326607" w14:textId="71D9FD1D" w:rsidR="000469D5" w:rsidRDefault="000469D5" w:rsidP="000469D5">
            <w:pPr>
              <w:pStyle w:val="TableParagraph"/>
              <w:numPr>
                <w:ilvl w:val="0"/>
                <w:numId w:val="16"/>
              </w:numPr>
              <w:ind w:right="248"/>
            </w:pPr>
            <w:r>
              <w:t xml:space="preserve">The audit plan should include </w:t>
            </w:r>
            <w:proofErr w:type="gramStart"/>
            <w:r>
              <w:t>a number of</w:t>
            </w:r>
            <w:proofErr w:type="gramEnd"/>
            <w:r>
              <w:t xml:space="preserve"> product audits (depending on the number of product lines), some of which should be unannounced (see AMC2 145.A.200(a)(6)).</w:t>
            </w:r>
          </w:p>
          <w:p w14:paraId="0C80FC7A" w14:textId="77777777" w:rsidR="000469D5" w:rsidRDefault="000469D5" w:rsidP="000469D5">
            <w:pPr>
              <w:pStyle w:val="ListParagraph"/>
              <w:rPr>
                <w:sz w:val="24"/>
              </w:rPr>
            </w:pPr>
          </w:p>
          <w:p w14:paraId="08285B75" w14:textId="77777777" w:rsidR="00EC44E3" w:rsidRDefault="000469D5" w:rsidP="000469D5">
            <w:pPr>
              <w:pStyle w:val="TableParagraph"/>
              <w:ind w:left="467" w:right="248"/>
            </w:pPr>
            <w:r>
              <w:t xml:space="preserve">(g) The audit of each operational area will review all the topics that are applicable to the relevant functional area. </w:t>
            </w:r>
          </w:p>
          <w:p w14:paraId="0C9A10A8" w14:textId="77777777" w:rsidR="00EC44E3" w:rsidRDefault="00EC44E3" w:rsidP="00EC44E3">
            <w:pPr>
              <w:pStyle w:val="TableParagraph"/>
              <w:ind w:right="248"/>
            </w:pPr>
          </w:p>
          <w:p w14:paraId="4B62974E" w14:textId="0F495DA4" w:rsidR="000469D5" w:rsidRDefault="000469D5" w:rsidP="00EC44E3">
            <w:pPr>
              <w:pStyle w:val="TableParagraph"/>
              <w:ind w:right="248"/>
              <w:rPr>
                <w:sz w:val="24"/>
              </w:rPr>
            </w:pPr>
            <w:r>
              <w:t xml:space="preserve">For each topic, the audit should check that the </w:t>
            </w:r>
            <w:proofErr w:type="gramStart"/>
            <w:r>
              <w:t>particular Part-145</w:t>
            </w:r>
            <w:proofErr w:type="gramEnd"/>
            <w:r>
              <w:t xml:space="preserve"> requirement is documented in the corresponding procedure in the exposition, and that the procedure is effectively implemented in the operational area that is being audited. In addition, the audit should also identify any practice/process implemented in the operational area which has not been documented in any procedure in the exposition.</w:t>
            </w:r>
          </w:p>
          <w:p w14:paraId="0BC7EBE8" w14:textId="77777777" w:rsidR="000469D5" w:rsidRDefault="000469D5" w:rsidP="000469D5">
            <w:pPr>
              <w:pStyle w:val="TableParagraph"/>
              <w:ind w:left="467" w:right="248"/>
            </w:pPr>
          </w:p>
          <w:p w14:paraId="63B8882D" w14:textId="77777777" w:rsidR="0034509F" w:rsidRDefault="0034509F">
            <w:pPr>
              <w:pStyle w:val="TableParagraph"/>
              <w:ind w:right="248"/>
              <w:rPr>
                <w:sz w:val="24"/>
              </w:rPr>
            </w:pPr>
          </w:p>
        </w:tc>
        <w:tc>
          <w:tcPr>
            <w:tcW w:w="4203" w:type="dxa"/>
          </w:tcPr>
          <w:p w14:paraId="394D18C4" w14:textId="77777777" w:rsidR="0034509F" w:rsidRDefault="0034509F">
            <w:pPr>
              <w:pStyle w:val="TableParagraph"/>
              <w:ind w:left="0"/>
              <w:rPr>
                <w:rFonts w:ascii="Times New Roman"/>
                <w:sz w:val="24"/>
              </w:rPr>
            </w:pPr>
          </w:p>
        </w:tc>
      </w:tr>
      <w:tr w:rsidR="0034509F" w14:paraId="60053FBE" w14:textId="77777777">
        <w:trPr>
          <w:trHeight w:val="1379"/>
        </w:trPr>
        <w:tc>
          <w:tcPr>
            <w:tcW w:w="4815" w:type="dxa"/>
          </w:tcPr>
          <w:p w14:paraId="7F58B6EA" w14:textId="31ADC688" w:rsidR="000469D5" w:rsidRDefault="000469D5" w:rsidP="00EC44E3">
            <w:pPr>
              <w:pStyle w:val="TableParagraph"/>
              <w:ind w:right="248"/>
              <w:rPr>
                <w:sz w:val="24"/>
              </w:rPr>
            </w:pPr>
          </w:p>
        </w:tc>
        <w:tc>
          <w:tcPr>
            <w:tcW w:w="4203" w:type="dxa"/>
          </w:tcPr>
          <w:p w14:paraId="096E1AC2" w14:textId="77777777" w:rsidR="0034509F" w:rsidRDefault="0034509F">
            <w:pPr>
              <w:pStyle w:val="TableParagraph"/>
              <w:ind w:left="0"/>
              <w:rPr>
                <w:rFonts w:ascii="Times New Roman"/>
                <w:sz w:val="24"/>
              </w:rPr>
            </w:pPr>
          </w:p>
        </w:tc>
      </w:tr>
      <w:tr w:rsidR="003D029F" w14:paraId="7219125F" w14:textId="77777777">
        <w:trPr>
          <w:trHeight w:val="275"/>
        </w:trPr>
        <w:tc>
          <w:tcPr>
            <w:tcW w:w="9018" w:type="dxa"/>
            <w:gridSpan w:val="2"/>
          </w:tcPr>
          <w:p w14:paraId="7B6F2631" w14:textId="77777777" w:rsidR="003D029F" w:rsidRDefault="00000000">
            <w:pPr>
              <w:pStyle w:val="TableParagraph"/>
              <w:spacing w:line="256" w:lineRule="exact"/>
              <w:rPr>
                <w:sz w:val="24"/>
              </w:rPr>
            </w:pPr>
            <w:r>
              <w:rPr>
                <w:sz w:val="24"/>
              </w:rPr>
              <w:t>All Audit Findings have been transferred to corrective action requests</w:t>
            </w:r>
          </w:p>
        </w:tc>
      </w:tr>
      <w:tr w:rsidR="003D029F" w14:paraId="0053A141" w14:textId="77777777">
        <w:trPr>
          <w:trHeight w:val="827"/>
        </w:trPr>
        <w:tc>
          <w:tcPr>
            <w:tcW w:w="9018" w:type="dxa"/>
            <w:gridSpan w:val="2"/>
          </w:tcPr>
          <w:p w14:paraId="46E2A7FE" w14:textId="77777777" w:rsidR="003D029F" w:rsidRDefault="00000000">
            <w:pPr>
              <w:pStyle w:val="TableParagraph"/>
              <w:tabs>
                <w:tab w:val="left" w:pos="4333"/>
              </w:tabs>
              <w:spacing w:line="274" w:lineRule="exact"/>
              <w:rPr>
                <w:sz w:val="24"/>
              </w:rPr>
            </w:pPr>
            <w:r>
              <w:rPr>
                <w:sz w:val="24"/>
              </w:rPr>
              <w:t>Signature</w:t>
            </w:r>
            <w:r>
              <w:rPr>
                <w:sz w:val="24"/>
              </w:rPr>
              <w:tab/>
              <w:t>Name</w:t>
            </w:r>
          </w:p>
        </w:tc>
      </w:tr>
      <w:tr w:rsidR="003D029F" w14:paraId="239FE753" w14:textId="77777777">
        <w:trPr>
          <w:trHeight w:val="829"/>
        </w:trPr>
        <w:tc>
          <w:tcPr>
            <w:tcW w:w="9018" w:type="dxa"/>
            <w:gridSpan w:val="2"/>
          </w:tcPr>
          <w:p w14:paraId="235DF642" w14:textId="77777777" w:rsidR="003D029F" w:rsidRDefault="00000000">
            <w:pPr>
              <w:pStyle w:val="TableParagraph"/>
              <w:rPr>
                <w:sz w:val="24"/>
              </w:rPr>
            </w:pPr>
            <w:r>
              <w:rPr>
                <w:sz w:val="24"/>
              </w:rPr>
              <w:t>Audit Closed QM Signature</w:t>
            </w:r>
          </w:p>
          <w:p w14:paraId="66BD0BEE" w14:textId="77777777" w:rsidR="003D029F" w:rsidRDefault="003D029F">
            <w:pPr>
              <w:pStyle w:val="TableParagraph"/>
              <w:ind w:left="0"/>
              <w:rPr>
                <w:rFonts w:ascii="Times New Roman"/>
                <w:sz w:val="24"/>
              </w:rPr>
            </w:pPr>
          </w:p>
          <w:p w14:paraId="7D7F9C66" w14:textId="77777777" w:rsidR="003D029F" w:rsidRDefault="00000000">
            <w:pPr>
              <w:pStyle w:val="TableParagraph"/>
              <w:spacing w:line="258" w:lineRule="exact"/>
              <w:rPr>
                <w:sz w:val="24"/>
              </w:rPr>
            </w:pPr>
            <w:r>
              <w:rPr>
                <w:sz w:val="24"/>
              </w:rPr>
              <w:t>Date</w:t>
            </w:r>
          </w:p>
        </w:tc>
      </w:tr>
    </w:tbl>
    <w:p w14:paraId="487A0EC7" w14:textId="77777777" w:rsidR="004273F3" w:rsidRDefault="004273F3"/>
    <w:sectPr w:rsidR="004273F3">
      <w:pgSz w:w="11910" w:h="16840"/>
      <w:pgMar w:top="1420" w:right="1320" w:bottom="280"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04C"/>
    <w:multiLevelType w:val="hybridMultilevel"/>
    <w:tmpl w:val="A11E9A24"/>
    <w:lvl w:ilvl="0" w:tplc="1E786784">
      <w:start w:val="1"/>
      <w:numFmt w:val="lowerRoman"/>
      <w:lvlText w:val="(%1)"/>
      <w:lvlJc w:val="left"/>
      <w:pPr>
        <w:ind w:left="1187" w:hanging="720"/>
      </w:pPr>
      <w:rPr>
        <w:rFonts w:hint="default"/>
      </w:rPr>
    </w:lvl>
    <w:lvl w:ilvl="1" w:tplc="04020019" w:tentative="1">
      <w:start w:val="1"/>
      <w:numFmt w:val="lowerLetter"/>
      <w:lvlText w:val="%2."/>
      <w:lvlJc w:val="left"/>
      <w:pPr>
        <w:ind w:left="1547" w:hanging="360"/>
      </w:pPr>
    </w:lvl>
    <w:lvl w:ilvl="2" w:tplc="0402001B" w:tentative="1">
      <w:start w:val="1"/>
      <w:numFmt w:val="lowerRoman"/>
      <w:lvlText w:val="%3."/>
      <w:lvlJc w:val="right"/>
      <w:pPr>
        <w:ind w:left="2267" w:hanging="180"/>
      </w:pPr>
    </w:lvl>
    <w:lvl w:ilvl="3" w:tplc="0402000F" w:tentative="1">
      <w:start w:val="1"/>
      <w:numFmt w:val="decimal"/>
      <w:lvlText w:val="%4."/>
      <w:lvlJc w:val="left"/>
      <w:pPr>
        <w:ind w:left="2987" w:hanging="360"/>
      </w:pPr>
    </w:lvl>
    <w:lvl w:ilvl="4" w:tplc="04020019" w:tentative="1">
      <w:start w:val="1"/>
      <w:numFmt w:val="lowerLetter"/>
      <w:lvlText w:val="%5."/>
      <w:lvlJc w:val="left"/>
      <w:pPr>
        <w:ind w:left="3707" w:hanging="360"/>
      </w:pPr>
    </w:lvl>
    <w:lvl w:ilvl="5" w:tplc="0402001B" w:tentative="1">
      <w:start w:val="1"/>
      <w:numFmt w:val="lowerRoman"/>
      <w:lvlText w:val="%6."/>
      <w:lvlJc w:val="right"/>
      <w:pPr>
        <w:ind w:left="4427" w:hanging="180"/>
      </w:pPr>
    </w:lvl>
    <w:lvl w:ilvl="6" w:tplc="0402000F" w:tentative="1">
      <w:start w:val="1"/>
      <w:numFmt w:val="decimal"/>
      <w:lvlText w:val="%7."/>
      <w:lvlJc w:val="left"/>
      <w:pPr>
        <w:ind w:left="5147" w:hanging="360"/>
      </w:pPr>
    </w:lvl>
    <w:lvl w:ilvl="7" w:tplc="04020019" w:tentative="1">
      <w:start w:val="1"/>
      <w:numFmt w:val="lowerLetter"/>
      <w:lvlText w:val="%8."/>
      <w:lvlJc w:val="left"/>
      <w:pPr>
        <w:ind w:left="5867" w:hanging="360"/>
      </w:pPr>
    </w:lvl>
    <w:lvl w:ilvl="8" w:tplc="0402001B" w:tentative="1">
      <w:start w:val="1"/>
      <w:numFmt w:val="lowerRoman"/>
      <w:lvlText w:val="%9."/>
      <w:lvlJc w:val="right"/>
      <w:pPr>
        <w:ind w:left="6587" w:hanging="180"/>
      </w:pPr>
    </w:lvl>
  </w:abstractNum>
  <w:abstractNum w:abstractNumId="1" w15:restartNumberingAfterBreak="0">
    <w:nsid w:val="0339511C"/>
    <w:multiLevelType w:val="hybridMultilevel"/>
    <w:tmpl w:val="E592A89A"/>
    <w:lvl w:ilvl="0" w:tplc="94D41EC2">
      <w:start w:val="1"/>
      <w:numFmt w:val="decimal"/>
      <w:lvlText w:val="%1."/>
      <w:lvlJc w:val="left"/>
      <w:pPr>
        <w:ind w:left="107" w:hanging="269"/>
      </w:pPr>
      <w:rPr>
        <w:rFonts w:ascii="Arial" w:eastAsia="Arial" w:hAnsi="Arial" w:cs="Arial" w:hint="default"/>
        <w:w w:val="99"/>
        <w:sz w:val="24"/>
        <w:szCs w:val="24"/>
        <w:lang w:val="en-US" w:eastAsia="en-US" w:bidi="ar-SA"/>
      </w:rPr>
    </w:lvl>
    <w:lvl w:ilvl="1" w:tplc="3A58B864">
      <w:numFmt w:val="bullet"/>
      <w:lvlText w:val="•"/>
      <w:lvlJc w:val="left"/>
      <w:pPr>
        <w:ind w:left="570" w:hanging="269"/>
      </w:pPr>
      <w:rPr>
        <w:rFonts w:hint="default"/>
        <w:lang w:val="en-US" w:eastAsia="en-US" w:bidi="ar-SA"/>
      </w:rPr>
    </w:lvl>
    <w:lvl w:ilvl="2" w:tplc="5C4894B0">
      <w:numFmt w:val="bullet"/>
      <w:lvlText w:val="•"/>
      <w:lvlJc w:val="left"/>
      <w:pPr>
        <w:ind w:left="1041" w:hanging="269"/>
      </w:pPr>
      <w:rPr>
        <w:rFonts w:hint="default"/>
        <w:lang w:val="en-US" w:eastAsia="en-US" w:bidi="ar-SA"/>
      </w:rPr>
    </w:lvl>
    <w:lvl w:ilvl="3" w:tplc="C94C21D6">
      <w:numFmt w:val="bullet"/>
      <w:lvlText w:val="•"/>
      <w:lvlJc w:val="left"/>
      <w:pPr>
        <w:ind w:left="1511" w:hanging="269"/>
      </w:pPr>
      <w:rPr>
        <w:rFonts w:hint="default"/>
        <w:lang w:val="en-US" w:eastAsia="en-US" w:bidi="ar-SA"/>
      </w:rPr>
    </w:lvl>
    <w:lvl w:ilvl="4" w:tplc="6C42A278">
      <w:numFmt w:val="bullet"/>
      <w:lvlText w:val="•"/>
      <w:lvlJc w:val="left"/>
      <w:pPr>
        <w:ind w:left="1982" w:hanging="269"/>
      </w:pPr>
      <w:rPr>
        <w:rFonts w:hint="default"/>
        <w:lang w:val="en-US" w:eastAsia="en-US" w:bidi="ar-SA"/>
      </w:rPr>
    </w:lvl>
    <w:lvl w:ilvl="5" w:tplc="4514795C">
      <w:numFmt w:val="bullet"/>
      <w:lvlText w:val="•"/>
      <w:lvlJc w:val="left"/>
      <w:pPr>
        <w:ind w:left="2452" w:hanging="269"/>
      </w:pPr>
      <w:rPr>
        <w:rFonts w:hint="default"/>
        <w:lang w:val="en-US" w:eastAsia="en-US" w:bidi="ar-SA"/>
      </w:rPr>
    </w:lvl>
    <w:lvl w:ilvl="6" w:tplc="56BA89EE">
      <w:numFmt w:val="bullet"/>
      <w:lvlText w:val="•"/>
      <w:lvlJc w:val="left"/>
      <w:pPr>
        <w:ind w:left="2923" w:hanging="269"/>
      </w:pPr>
      <w:rPr>
        <w:rFonts w:hint="default"/>
        <w:lang w:val="en-US" w:eastAsia="en-US" w:bidi="ar-SA"/>
      </w:rPr>
    </w:lvl>
    <w:lvl w:ilvl="7" w:tplc="D5FA632C">
      <w:numFmt w:val="bullet"/>
      <w:lvlText w:val="•"/>
      <w:lvlJc w:val="left"/>
      <w:pPr>
        <w:ind w:left="3393" w:hanging="269"/>
      </w:pPr>
      <w:rPr>
        <w:rFonts w:hint="default"/>
        <w:lang w:val="en-US" w:eastAsia="en-US" w:bidi="ar-SA"/>
      </w:rPr>
    </w:lvl>
    <w:lvl w:ilvl="8" w:tplc="E7C4D846">
      <w:numFmt w:val="bullet"/>
      <w:lvlText w:val="•"/>
      <w:lvlJc w:val="left"/>
      <w:pPr>
        <w:ind w:left="3864" w:hanging="269"/>
      </w:pPr>
      <w:rPr>
        <w:rFonts w:hint="default"/>
        <w:lang w:val="en-US" w:eastAsia="en-US" w:bidi="ar-SA"/>
      </w:rPr>
    </w:lvl>
  </w:abstractNum>
  <w:abstractNum w:abstractNumId="2" w15:restartNumberingAfterBreak="0">
    <w:nsid w:val="0A9E0315"/>
    <w:multiLevelType w:val="hybridMultilevel"/>
    <w:tmpl w:val="1722E794"/>
    <w:lvl w:ilvl="0" w:tplc="AAE22044">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E6320D7"/>
    <w:multiLevelType w:val="multilevel"/>
    <w:tmpl w:val="FE1E54D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A10F2"/>
    <w:multiLevelType w:val="hybridMultilevel"/>
    <w:tmpl w:val="7CBA5C76"/>
    <w:lvl w:ilvl="0" w:tplc="08090001">
      <w:start w:val="1"/>
      <w:numFmt w:val="bullet"/>
      <w:lvlText w:val=""/>
      <w:lvlJc w:val="left"/>
      <w:pPr>
        <w:ind w:left="827" w:hanging="360"/>
      </w:pPr>
      <w:rPr>
        <w:rFonts w:ascii="Symbol" w:hAnsi="Symbol" w:hint="default"/>
      </w:rPr>
    </w:lvl>
    <w:lvl w:ilvl="1" w:tplc="08090003">
      <w:start w:val="1"/>
      <w:numFmt w:val="bullet"/>
      <w:lvlText w:val="o"/>
      <w:lvlJc w:val="left"/>
      <w:pPr>
        <w:ind w:left="1547" w:hanging="360"/>
      </w:pPr>
      <w:rPr>
        <w:rFonts w:ascii="Courier New" w:hAnsi="Courier New" w:cs="Courier New" w:hint="default"/>
      </w:rPr>
    </w:lvl>
    <w:lvl w:ilvl="2" w:tplc="08090005">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5" w15:restartNumberingAfterBreak="0">
    <w:nsid w:val="165153D0"/>
    <w:multiLevelType w:val="hybridMultilevel"/>
    <w:tmpl w:val="507E6D18"/>
    <w:lvl w:ilvl="0" w:tplc="FFFFFFFF">
      <w:start w:val="1"/>
      <w:numFmt w:val="lowerLetter"/>
      <w:lvlText w:val="(%1)"/>
      <w:lvlJc w:val="left"/>
      <w:pPr>
        <w:ind w:left="467" w:hanging="360"/>
      </w:pPr>
      <w:rPr>
        <w:rFonts w:hint="default"/>
      </w:rPr>
    </w:lvl>
    <w:lvl w:ilvl="1" w:tplc="FFFFFFFF" w:tentative="1">
      <w:start w:val="1"/>
      <w:numFmt w:val="lowerLetter"/>
      <w:lvlText w:val="%2."/>
      <w:lvlJc w:val="left"/>
      <w:pPr>
        <w:ind w:left="1187" w:hanging="360"/>
      </w:pPr>
    </w:lvl>
    <w:lvl w:ilvl="2" w:tplc="FFFFFFFF" w:tentative="1">
      <w:start w:val="1"/>
      <w:numFmt w:val="lowerRoman"/>
      <w:lvlText w:val="%3."/>
      <w:lvlJc w:val="right"/>
      <w:pPr>
        <w:ind w:left="1907" w:hanging="180"/>
      </w:pPr>
    </w:lvl>
    <w:lvl w:ilvl="3" w:tplc="FFFFFFFF" w:tentative="1">
      <w:start w:val="1"/>
      <w:numFmt w:val="decimal"/>
      <w:lvlText w:val="%4."/>
      <w:lvlJc w:val="left"/>
      <w:pPr>
        <w:ind w:left="2627" w:hanging="360"/>
      </w:pPr>
    </w:lvl>
    <w:lvl w:ilvl="4" w:tplc="FFFFFFFF" w:tentative="1">
      <w:start w:val="1"/>
      <w:numFmt w:val="lowerLetter"/>
      <w:lvlText w:val="%5."/>
      <w:lvlJc w:val="left"/>
      <w:pPr>
        <w:ind w:left="3347" w:hanging="360"/>
      </w:pPr>
    </w:lvl>
    <w:lvl w:ilvl="5" w:tplc="FFFFFFFF" w:tentative="1">
      <w:start w:val="1"/>
      <w:numFmt w:val="lowerRoman"/>
      <w:lvlText w:val="%6."/>
      <w:lvlJc w:val="right"/>
      <w:pPr>
        <w:ind w:left="4067" w:hanging="180"/>
      </w:pPr>
    </w:lvl>
    <w:lvl w:ilvl="6" w:tplc="FFFFFFFF" w:tentative="1">
      <w:start w:val="1"/>
      <w:numFmt w:val="decimal"/>
      <w:lvlText w:val="%7."/>
      <w:lvlJc w:val="left"/>
      <w:pPr>
        <w:ind w:left="4787" w:hanging="360"/>
      </w:pPr>
    </w:lvl>
    <w:lvl w:ilvl="7" w:tplc="FFFFFFFF" w:tentative="1">
      <w:start w:val="1"/>
      <w:numFmt w:val="lowerLetter"/>
      <w:lvlText w:val="%8."/>
      <w:lvlJc w:val="left"/>
      <w:pPr>
        <w:ind w:left="5507" w:hanging="360"/>
      </w:pPr>
    </w:lvl>
    <w:lvl w:ilvl="8" w:tplc="FFFFFFFF" w:tentative="1">
      <w:start w:val="1"/>
      <w:numFmt w:val="lowerRoman"/>
      <w:lvlText w:val="%9."/>
      <w:lvlJc w:val="right"/>
      <w:pPr>
        <w:ind w:left="6227" w:hanging="180"/>
      </w:pPr>
    </w:lvl>
  </w:abstractNum>
  <w:abstractNum w:abstractNumId="6" w15:restartNumberingAfterBreak="0">
    <w:nsid w:val="16CE01D3"/>
    <w:multiLevelType w:val="hybridMultilevel"/>
    <w:tmpl w:val="56EE6B04"/>
    <w:lvl w:ilvl="0" w:tplc="08090001">
      <w:start w:val="1"/>
      <w:numFmt w:val="bullet"/>
      <w:lvlText w:val=""/>
      <w:lvlJc w:val="left"/>
      <w:pPr>
        <w:ind w:left="827" w:hanging="360"/>
      </w:pPr>
      <w:rPr>
        <w:rFonts w:ascii="Symbol" w:hAnsi="Symbol" w:hint="default"/>
      </w:rPr>
    </w:lvl>
    <w:lvl w:ilvl="1" w:tplc="08090003">
      <w:start w:val="1"/>
      <w:numFmt w:val="bullet"/>
      <w:lvlText w:val="o"/>
      <w:lvlJc w:val="left"/>
      <w:pPr>
        <w:ind w:left="1547" w:hanging="360"/>
      </w:pPr>
      <w:rPr>
        <w:rFonts w:ascii="Courier New" w:hAnsi="Courier New" w:cs="Courier New" w:hint="default"/>
      </w:rPr>
    </w:lvl>
    <w:lvl w:ilvl="2" w:tplc="08090005">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7" w15:restartNumberingAfterBreak="0">
    <w:nsid w:val="1743277A"/>
    <w:multiLevelType w:val="hybridMultilevel"/>
    <w:tmpl w:val="7158C652"/>
    <w:lvl w:ilvl="0" w:tplc="36E8CF76">
      <w:start w:val="1"/>
      <w:numFmt w:val="lowerLetter"/>
      <w:lvlText w:val="(%1)"/>
      <w:lvlJc w:val="left"/>
      <w:pPr>
        <w:ind w:left="827" w:hanging="360"/>
      </w:pPr>
      <w:rPr>
        <w:rFonts w:hint="default"/>
      </w:rPr>
    </w:lvl>
    <w:lvl w:ilvl="1" w:tplc="04020019" w:tentative="1">
      <w:start w:val="1"/>
      <w:numFmt w:val="lowerLetter"/>
      <w:lvlText w:val="%2."/>
      <w:lvlJc w:val="left"/>
      <w:pPr>
        <w:ind w:left="1547" w:hanging="360"/>
      </w:pPr>
    </w:lvl>
    <w:lvl w:ilvl="2" w:tplc="0402001B" w:tentative="1">
      <w:start w:val="1"/>
      <w:numFmt w:val="lowerRoman"/>
      <w:lvlText w:val="%3."/>
      <w:lvlJc w:val="right"/>
      <w:pPr>
        <w:ind w:left="2267" w:hanging="180"/>
      </w:pPr>
    </w:lvl>
    <w:lvl w:ilvl="3" w:tplc="0402000F" w:tentative="1">
      <w:start w:val="1"/>
      <w:numFmt w:val="decimal"/>
      <w:lvlText w:val="%4."/>
      <w:lvlJc w:val="left"/>
      <w:pPr>
        <w:ind w:left="2987" w:hanging="360"/>
      </w:pPr>
    </w:lvl>
    <w:lvl w:ilvl="4" w:tplc="04020019" w:tentative="1">
      <w:start w:val="1"/>
      <w:numFmt w:val="lowerLetter"/>
      <w:lvlText w:val="%5."/>
      <w:lvlJc w:val="left"/>
      <w:pPr>
        <w:ind w:left="3707" w:hanging="360"/>
      </w:pPr>
    </w:lvl>
    <w:lvl w:ilvl="5" w:tplc="0402001B" w:tentative="1">
      <w:start w:val="1"/>
      <w:numFmt w:val="lowerRoman"/>
      <w:lvlText w:val="%6."/>
      <w:lvlJc w:val="right"/>
      <w:pPr>
        <w:ind w:left="4427" w:hanging="180"/>
      </w:pPr>
    </w:lvl>
    <w:lvl w:ilvl="6" w:tplc="0402000F" w:tentative="1">
      <w:start w:val="1"/>
      <w:numFmt w:val="decimal"/>
      <w:lvlText w:val="%7."/>
      <w:lvlJc w:val="left"/>
      <w:pPr>
        <w:ind w:left="5147" w:hanging="360"/>
      </w:pPr>
    </w:lvl>
    <w:lvl w:ilvl="7" w:tplc="04020019" w:tentative="1">
      <w:start w:val="1"/>
      <w:numFmt w:val="lowerLetter"/>
      <w:lvlText w:val="%8."/>
      <w:lvlJc w:val="left"/>
      <w:pPr>
        <w:ind w:left="5867" w:hanging="360"/>
      </w:pPr>
    </w:lvl>
    <w:lvl w:ilvl="8" w:tplc="0402001B" w:tentative="1">
      <w:start w:val="1"/>
      <w:numFmt w:val="lowerRoman"/>
      <w:lvlText w:val="%9."/>
      <w:lvlJc w:val="right"/>
      <w:pPr>
        <w:ind w:left="6587" w:hanging="180"/>
      </w:pPr>
    </w:lvl>
  </w:abstractNum>
  <w:abstractNum w:abstractNumId="8" w15:restartNumberingAfterBreak="0">
    <w:nsid w:val="18122486"/>
    <w:multiLevelType w:val="hybridMultilevel"/>
    <w:tmpl w:val="A4DC1BC0"/>
    <w:lvl w:ilvl="0" w:tplc="D832963C">
      <w:start w:val="7"/>
      <w:numFmt w:val="decimal"/>
      <w:lvlText w:val="%1."/>
      <w:lvlJc w:val="left"/>
      <w:pPr>
        <w:ind w:left="107" w:hanging="269"/>
      </w:pPr>
      <w:rPr>
        <w:rFonts w:ascii="Arial" w:eastAsia="Arial" w:hAnsi="Arial" w:cs="Arial" w:hint="default"/>
        <w:w w:val="99"/>
        <w:sz w:val="24"/>
        <w:szCs w:val="24"/>
        <w:lang w:val="en-US" w:eastAsia="en-US" w:bidi="ar-SA"/>
      </w:rPr>
    </w:lvl>
    <w:lvl w:ilvl="1" w:tplc="235CDF90">
      <w:numFmt w:val="bullet"/>
      <w:lvlText w:val="•"/>
      <w:lvlJc w:val="left"/>
      <w:pPr>
        <w:ind w:left="570" w:hanging="269"/>
      </w:pPr>
      <w:rPr>
        <w:rFonts w:hint="default"/>
        <w:lang w:val="en-US" w:eastAsia="en-US" w:bidi="ar-SA"/>
      </w:rPr>
    </w:lvl>
    <w:lvl w:ilvl="2" w:tplc="1EB44F78">
      <w:numFmt w:val="bullet"/>
      <w:lvlText w:val="•"/>
      <w:lvlJc w:val="left"/>
      <w:pPr>
        <w:ind w:left="1041" w:hanging="269"/>
      </w:pPr>
      <w:rPr>
        <w:rFonts w:hint="default"/>
        <w:lang w:val="en-US" w:eastAsia="en-US" w:bidi="ar-SA"/>
      </w:rPr>
    </w:lvl>
    <w:lvl w:ilvl="3" w:tplc="375E654E">
      <w:numFmt w:val="bullet"/>
      <w:lvlText w:val="•"/>
      <w:lvlJc w:val="left"/>
      <w:pPr>
        <w:ind w:left="1511" w:hanging="269"/>
      </w:pPr>
      <w:rPr>
        <w:rFonts w:hint="default"/>
        <w:lang w:val="en-US" w:eastAsia="en-US" w:bidi="ar-SA"/>
      </w:rPr>
    </w:lvl>
    <w:lvl w:ilvl="4" w:tplc="FD68216E">
      <w:numFmt w:val="bullet"/>
      <w:lvlText w:val="•"/>
      <w:lvlJc w:val="left"/>
      <w:pPr>
        <w:ind w:left="1982" w:hanging="269"/>
      </w:pPr>
      <w:rPr>
        <w:rFonts w:hint="default"/>
        <w:lang w:val="en-US" w:eastAsia="en-US" w:bidi="ar-SA"/>
      </w:rPr>
    </w:lvl>
    <w:lvl w:ilvl="5" w:tplc="03D8D028">
      <w:numFmt w:val="bullet"/>
      <w:lvlText w:val="•"/>
      <w:lvlJc w:val="left"/>
      <w:pPr>
        <w:ind w:left="2452" w:hanging="269"/>
      </w:pPr>
      <w:rPr>
        <w:rFonts w:hint="default"/>
        <w:lang w:val="en-US" w:eastAsia="en-US" w:bidi="ar-SA"/>
      </w:rPr>
    </w:lvl>
    <w:lvl w:ilvl="6" w:tplc="3AAA0E50">
      <w:numFmt w:val="bullet"/>
      <w:lvlText w:val="•"/>
      <w:lvlJc w:val="left"/>
      <w:pPr>
        <w:ind w:left="2923" w:hanging="269"/>
      </w:pPr>
      <w:rPr>
        <w:rFonts w:hint="default"/>
        <w:lang w:val="en-US" w:eastAsia="en-US" w:bidi="ar-SA"/>
      </w:rPr>
    </w:lvl>
    <w:lvl w:ilvl="7" w:tplc="7AB040EC">
      <w:numFmt w:val="bullet"/>
      <w:lvlText w:val="•"/>
      <w:lvlJc w:val="left"/>
      <w:pPr>
        <w:ind w:left="3393" w:hanging="269"/>
      </w:pPr>
      <w:rPr>
        <w:rFonts w:hint="default"/>
        <w:lang w:val="en-US" w:eastAsia="en-US" w:bidi="ar-SA"/>
      </w:rPr>
    </w:lvl>
    <w:lvl w:ilvl="8" w:tplc="F2D4464E">
      <w:numFmt w:val="bullet"/>
      <w:lvlText w:val="•"/>
      <w:lvlJc w:val="left"/>
      <w:pPr>
        <w:ind w:left="3864" w:hanging="269"/>
      </w:pPr>
      <w:rPr>
        <w:rFonts w:hint="default"/>
        <w:lang w:val="en-US" w:eastAsia="en-US" w:bidi="ar-SA"/>
      </w:rPr>
    </w:lvl>
  </w:abstractNum>
  <w:abstractNum w:abstractNumId="9" w15:restartNumberingAfterBreak="0">
    <w:nsid w:val="1ADB773A"/>
    <w:multiLevelType w:val="multilevel"/>
    <w:tmpl w:val="A13E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367CD6"/>
    <w:multiLevelType w:val="hybridMultilevel"/>
    <w:tmpl w:val="F7283C10"/>
    <w:lvl w:ilvl="0" w:tplc="88A25554">
      <w:start w:val="10"/>
      <w:numFmt w:val="decimal"/>
      <w:lvlText w:val="%1."/>
      <w:lvlJc w:val="left"/>
      <w:pPr>
        <w:ind w:left="107" w:hanging="403"/>
      </w:pPr>
      <w:rPr>
        <w:rFonts w:ascii="Arial" w:eastAsia="Arial" w:hAnsi="Arial" w:cs="Arial" w:hint="default"/>
        <w:w w:val="99"/>
        <w:sz w:val="24"/>
        <w:szCs w:val="24"/>
        <w:lang w:val="en-US" w:eastAsia="en-US" w:bidi="ar-SA"/>
      </w:rPr>
    </w:lvl>
    <w:lvl w:ilvl="1" w:tplc="0346D1C4">
      <w:numFmt w:val="bullet"/>
      <w:lvlText w:val="•"/>
      <w:lvlJc w:val="left"/>
      <w:pPr>
        <w:ind w:left="570" w:hanging="403"/>
      </w:pPr>
      <w:rPr>
        <w:rFonts w:hint="default"/>
        <w:lang w:val="en-US" w:eastAsia="en-US" w:bidi="ar-SA"/>
      </w:rPr>
    </w:lvl>
    <w:lvl w:ilvl="2" w:tplc="C660083C">
      <w:numFmt w:val="bullet"/>
      <w:lvlText w:val="•"/>
      <w:lvlJc w:val="left"/>
      <w:pPr>
        <w:ind w:left="1041" w:hanging="403"/>
      </w:pPr>
      <w:rPr>
        <w:rFonts w:hint="default"/>
        <w:lang w:val="en-US" w:eastAsia="en-US" w:bidi="ar-SA"/>
      </w:rPr>
    </w:lvl>
    <w:lvl w:ilvl="3" w:tplc="279E2232">
      <w:numFmt w:val="bullet"/>
      <w:lvlText w:val="•"/>
      <w:lvlJc w:val="left"/>
      <w:pPr>
        <w:ind w:left="1511" w:hanging="403"/>
      </w:pPr>
      <w:rPr>
        <w:rFonts w:hint="default"/>
        <w:lang w:val="en-US" w:eastAsia="en-US" w:bidi="ar-SA"/>
      </w:rPr>
    </w:lvl>
    <w:lvl w:ilvl="4" w:tplc="256ADE98">
      <w:numFmt w:val="bullet"/>
      <w:lvlText w:val="•"/>
      <w:lvlJc w:val="left"/>
      <w:pPr>
        <w:ind w:left="1982" w:hanging="403"/>
      </w:pPr>
      <w:rPr>
        <w:rFonts w:hint="default"/>
        <w:lang w:val="en-US" w:eastAsia="en-US" w:bidi="ar-SA"/>
      </w:rPr>
    </w:lvl>
    <w:lvl w:ilvl="5" w:tplc="12B4F180">
      <w:numFmt w:val="bullet"/>
      <w:lvlText w:val="•"/>
      <w:lvlJc w:val="left"/>
      <w:pPr>
        <w:ind w:left="2452" w:hanging="403"/>
      </w:pPr>
      <w:rPr>
        <w:rFonts w:hint="default"/>
        <w:lang w:val="en-US" w:eastAsia="en-US" w:bidi="ar-SA"/>
      </w:rPr>
    </w:lvl>
    <w:lvl w:ilvl="6" w:tplc="61DA656E">
      <w:numFmt w:val="bullet"/>
      <w:lvlText w:val="•"/>
      <w:lvlJc w:val="left"/>
      <w:pPr>
        <w:ind w:left="2923" w:hanging="403"/>
      </w:pPr>
      <w:rPr>
        <w:rFonts w:hint="default"/>
        <w:lang w:val="en-US" w:eastAsia="en-US" w:bidi="ar-SA"/>
      </w:rPr>
    </w:lvl>
    <w:lvl w:ilvl="7" w:tplc="B2A63DD8">
      <w:numFmt w:val="bullet"/>
      <w:lvlText w:val="•"/>
      <w:lvlJc w:val="left"/>
      <w:pPr>
        <w:ind w:left="3393" w:hanging="403"/>
      </w:pPr>
      <w:rPr>
        <w:rFonts w:hint="default"/>
        <w:lang w:val="en-US" w:eastAsia="en-US" w:bidi="ar-SA"/>
      </w:rPr>
    </w:lvl>
    <w:lvl w:ilvl="8" w:tplc="F3663EAE">
      <w:numFmt w:val="bullet"/>
      <w:lvlText w:val="•"/>
      <w:lvlJc w:val="left"/>
      <w:pPr>
        <w:ind w:left="3864" w:hanging="403"/>
      </w:pPr>
      <w:rPr>
        <w:rFonts w:hint="default"/>
        <w:lang w:val="en-US" w:eastAsia="en-US" w:bidi="ar-SA"/>
      </w:rPr>
    </w:lvl>
  </w:abstractNum>
  <w:abstractNum w:abstractNumId="11" w15:restartNumberingAfterBreak="0">
    <w:nsid w:val="1CD97521"/>
    <w:multiLevelType w:val="hybridMultilevel"/>
    <w:tmpl w:val="D554A832"/>
    <w:lvl w:ilvl="0" w:tplc="1CE26F42">
      <w:start w:val="1"/>
      <w:numFmt w:val="lowerLetter"/>
      <w:lvlText w:val="(%1)"/>
      <w:lvlJc w:val="left"/>
      <w:pPr>
        <w:ind w:left="467" w:hanging="360"/>
      </w:pPr>
      <w:rPr>
        <w:rFonts w:hint="default"/>
      </w:rPr>
    </w:lvl>
    <w:lvl w:ilvl="1" w:tplc="04020019" w:tentative="1">
      <w:start w:val="1"/>
      <w:numFmt w:val="lowerLetter"/>
      <w:lvlText w:val="%2."/>
      <w:lvlJc w:val="left"/>
      <w:pPr>
        <w:ind w:left="1187" w:hanging="360"/>
      </w:pPr>
    </w:lvl>
    <w:lvl w:ilvl="2" w:tplc="0402001B" w:tentative="1">
      <w:start w:val="1"/>
      <w:numFmt w:val="lowerRoman"/>
      <w:lvlText w:val="%3."/>
      <w:lvlJc w:val="right"/>
      <w:pPr>
        <w:ind w:left="1907" w:hanging="180"/>
      </w:pPr>
    </w:lvl>
    <w:lvl w:ilvl="3" w:tplc="0402000F" w:tentative="1">
      <w:start w:val="1"/>
      <w:numFmt w:val="decimal"/>
      <w:lvlText w:val="%4."/>
      <w:lvlJc w:val="left"/>
      <w:pPr>
        <w:ind w:left="2627" w:hanging="360"/>
      </w:pPr>
    </w:lvl>
    <w:lvl w:ilvl="4" w:tplc="04020019" w:tentative="1">
      <w:start w:val="1"/>
      <w:numFmt w:val="lowerLetter"/>
      <w:lvlText w:val="%5."/>
      <w:lvlJc w:val="left"/>
      <w:pPr>
        <w:ind w:left="3347" w:hanging="360"/>
      </w:pPr>
    </w:lvl>
    <w:lvl w:ilvl="5" w:tplc="0402001B" w:tentative="1">
      <w:start w:val="1"/>
      <w:numFmt w:val="lowerRoman"/>
      <w:lvlText w:val="%6."/>
      <w:lvlJc w:val="right"/>
      <w:pPr>
        <w:ind w:left="4067" w:hanging="180"/>
      </w:pPr>
    </w:lvl>
    <w:lvl w:ilvl="6" w:tplc="0402000F" w:tentative="1">
      <w:start w:val="1"/>
      <w:numFmt w:val="decimal"/>
      <w:lvlText w:val="%7."/>
      <w:lvlJc w:val="left"/>
      <w:pPr>
        <w:ind w:left="4787" w:hanging="360"/>
      </w:pPr>
    </w:lvl>
    <w:lvl w:ilvl="7" w:tplc="04020019" w:tentative="1">
      <w:start w:val="1"/>
      <w:numFmt w:val="lowerLetter"/>
      <w:lvlText w:val="%8."/>
      <w:lvlJc w:val="left"/>
      <w:pPr>
        <w:ind w:left="5507" w:hanging="360"/>
      </w:pPr>
    </w:lvl>
    <w:lvl w:ilvl="8" w:tplc="0402001B" w:tentative="1">
      <w:start w:val="1"/>
      <w:numFmt w:val="lowerRoman"/>
      <w:lvlText w:val="%9."/>
      <w:lvlJc w:val="right"/>
      <w:pPr>
        <w:ind w:left="6227" w:hanging="180"/>
      </w:pPr>
    </w:lvl>
  </w:abstractNum>
  <w:abstractNum w:abstractNumId="12" w15:restartNumberingAfterBreak="0">
    <w:nsid w:val="246A3BC7"/>
    <w:multiLevelType w:val="hybridMultilevel"/>
    <w:tmpl w:val="E4EC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B43CDD"/>
    <w:multiLevelType w:val="hybridMultilevel"/>
    <w:tmpl w:val="43AC8246"/>
    <w:lvl w:ilvl="0" w:tplc="A4B2E32A">
      <w:start w:val="1"/>
      <w:numFmt w:val="lowerLetter"/>
      <w:lvlText w:val="(%1)"/>
      <w:lvlJc w:val="left"/>
      <w:pPr>
        <w:ind w:left="467" w:hanging="360"/>
      </w:pPr>
      <w:rPr>
        <w:rFonts w:hint="default"/>
      </w:rPr>
    </w:lvl>
    <w:lvl w:ilvl="1" w:tplc="04020019" w:tentative="1">
      <w:start w:val="1"/>
      <w:numFmt w:val="lowerLetter"/>
      <w:lvlText w:val="%2."/>
      <w:lvlJc w:val="left"/>
      <w:pPr>
        <w:ind w:left="1187" w:hanging="360"/>
      </w:pPr>
    </w:lvl>
    <w:lvl w:ilvl="2" w:tplc="0402001B" w:tentative="1">
      <w:start w:val="1"/>
      <w:numFmt w:val="lowerRoman"/>
      <w:lvlText w:val="%3."/>
      <w:lvlJc w:val="right"/>
      <w:pPr>
        <w:ind w:left="1907" w:hanging="180"/>
      </w:pPr>
    </w:lvl>
    <w:lvl w:ilvl="3" w:tplc="0402000F" w:tentative="1">
      <w:start w:val="1"/>
      <w:numFmt w:val="decimal"/>
      <w:lvlText w:val="%4."/>
      <w:lvlJc w:val="left"/>
      <w:pPr>
        <w:ind w:left="2627" w:hanging="360"/>
      </w:pPr>
    </w:lvl>
    <w:lvl w:ilvl="4" w:tplc="04020019" w:tentative="1">
      <w:start w:val="1"/>
      <w:numFmt w:val="lowerLetter"/>
      <w:lvlText w:val="%5."/>
      <w:lvlJc w:val="left"/>
      <w:pPr>
        <w:ind w:left="3347" w:hanging="360"/>
      </w:pPr>
    </w:lvl>
    <w:lvl w:ilvl="5" w:tplc="0402001B" w:tentative="1">
      <w:start w:val="1"/>
      <w:numFmt w:val="lowerRoman"/>
      <w:lvlText w:val="%6."/>
      <w:lvlJc w:val="right"/>
      <w:pPr>
        <w:ind w:left="4067" w:hanging="180"/>
      </w:pPr>
    </w:lvl>
    <w:lvl w:ilvl="6" w:tplc="0402000F" w:tentative="1">
      <w:start w:val="1"/>
      <w:numFmt w:val="decimal"/>
      <w:lvlText w:val="%7."/>
      <w:lvlJc w:val="left"/>
      <w:pPr>
        <w:ind w:left="4787" w:hanging="360"/>
      </w:pPr>
    </w:lvl>
    <w:lvl w:ilvl="7" w:tplc="04020019" w:tentative="1">
      <w:start w:val="1"/>
      <w:numFmt w:val="lowerLetter"/>
      <w:lvlText w:val="%8."/>
      <w:lvlJc w:val="left"/>
      <w:pPr>
        <w:ind w:left="5507" w:hanging="360"/>
      </w:pPr>
    </w:lvl>
    <w:lvl w:ilvl="8" w:tplc="0402001B" w:tentative="1">
      <w:start w:val="1"/>
      <w:numFmt w:val="lowerRoman"/>
      <w:lvlText w:val="%9."/>
      <w:lvlJc w:val="right"/>
      <w:pPr>
        <w:ind w:left="6227" w:hanging="180"/>
      </w:pPr>
    </w:lvl>
  </w:abstractNum>
  <w:abstractNum w:abstractNumId="14" w15:restartNumberingAfterBreak="0">
    <w:nsid w:val="31F6587E"/>
    <w:multiLevelType w:val="hybridMultilevel"/>
    <w:tmpl w:val="56962226"/>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5" w15:restartNumberingAfterBreak="0">
    <w:nsid w:val="32D41D42"/>
    <w:multiLevelType w:val="hybridMultilevel"/>
    <w:tmpl w:val="507E6D18"/>
    <w:lvl w:ilvl="0" w:tplc="016AB724">
      <w:start w:val="1"/>
      <w:numFmt w:val="lowerLetter"/>
      <w:lvlText w:val="(%1)"/>
      <w:lvlJc w:val="left"/>
      <w:pPr>
        <w:ind w:left="467" w:hanging="360"/>
      </w:pPr>
      <w:rPr>
        <w:rFonts w:hint="default"/>
      </w:rPr>
    </w:lvl>
    <w:lvl w:ilvl="1" w:tplc="04020019" w:tentative="1">
      <w:start w:val="1"/>
      <w:numFmt w:val="lowerLetter"/>
      <w:lvlText w:val="%2."/>
      <w:lvlJc w:val="left"/>
      <w:pPr>
        <w:ind w:left="1187" w:hanging="360"/>
      </w:pPr>
    </w:lvl>
    <w:lvl w:ilvl="2" w:tplc="0402001B" w:tentative="1">
      <w:start w:val="1"/>
      <w:numFmt w:val="lowerRoman"/>
      <w:lvlText w:val="%3."/>
      <w:lvlJc w:val="right"/>
      <w:pPr>
        <w:ind w:left="1907" w:hanging="180"/>
      </w:pPr>
    </w:lvl>
    <w:lvl w:ilvl="3" w:tplc="0402000F" w:tentative="1">
      <w:start w:val="1"/>
      <w:numFmt w:val="decimal"/>
      <w:lvlText w:val="%4."/>
      <w:lvlJc w:val="left"/>
      <w:pPr>
        <w:ind w:left="2627" w:hanging="360"/>
      </w:pPr>
    </w:lvl>
    <w:lvl w:ilvl="4" w:tplc="04020019" w:tentative="1">
      <w:start w:val="1"/>
      <w:numFmt w:val="lowerLetter"/>
      <w:lvlText w:val="%5."/>
      <w:lvlJc w:val="left"/>
      <w:pPr>
        <w:ind w:left="3347" w:hanging="360"/>
      </w:pPr>
    </w:lvl>
    <w:lvl w:ilvl="5" w:tplc="0402001B" w:tentative="1">
      <w:start w:val="1"/>
      <w:numFmt w:val="lowerRoman"/>
      <w:lvlText w:val="%6."/>
      <w:lvlJc w:val="right"/>
      <w:pPr>
        <w:ind w:left="4067" w:hanging="180"/>
      </w:pPr>
    </w:lvl>
    <w:lvl w:ilvl="6" w:tplc="0402000F" w:tentative="1">
      <w:start w:val="1"/>
      <w:numFmt w:val="decimal"/>
      <w:lvlText w:val="%7."/>
      <w:lvlJc w:val="left"/>
      <w:pPr>
        <w:ind w:left="4787" w:hanging="360"/>
      </w:pPr>
    </w:lvl>
    <w:lvl w:ilvl="7" w:tplc="04020019" w:tentative="1">
      <w:start w:val="1"/>
      <w:numFmt w:val="lowerLetter"/>
      <w:lvlText w:val="%8."/>
      <w:lvlJc w:val="left"/>
      <w:pPr>
        <w:ind w:left="5507" w:hanging="360"/>
      </w:pPr>
    </w:lvl>
    <w:lvl w:ilvl="8" w:tplc="0402001B" w:tentative="1">
      <w:start w:val="1"/>
      <w:numFmt w:val="lowerRoman"/>
      <w:lvlText w:val="%9."/>
      <w:lvlJc w:val="right"/>
      <w:pPr>
        <w:ind w:left="6227" w:hanging="180"/>
      </w:pPr>
    </w:lvl>
  </w:abstractNum>
  <w:abstractNum w:abstractNumId="16" w15:restartNumberingAfterBreak="0">
    <w:nsid w:val="3532759E"/>
    <w:multiLevelType w:val="hybridMultilevel"/>
    <w:tmpl w:val="F4725DB2"/>
    <w:lvl w:ilvl="0" w:tplc="13DEB304">
      <w:start w:val="1"/>
      <w:numFmt w:val="decimal"/>
      <w:lvlText w:val="%1."/>
      <w:lvlJc w:val="left"/>
      <w:pPr>
        <w:ind w:left="107" w:hanging="269"/>
      </w:pPr>
      <w:rPr>
        <w:rFonts w:ascii="Arial" w:eastAsia="Arial" w:hAnsi="Arial" w:cs="Arial" w:hint="default"/>
        <w:w w:val="99"/>
        <w:sz w:val="24"/>
        <w:szCs w:val="24"/>
        <w:lang w:val="en-US" w:eastAsia="en-US" w:bidi="ar-SA"/>
      </w:rPr>
    </w:lvl>
    <w:lvl w:ilvl="1" w:tplc="1B60ABF8">
      <w:numFmt w:val="bullet"/>
      <w:lvlText w:val="•"/>
      <w:lvlJc w:val="left"/>
      <w:pPr>
        <w:ind w:left="570" w:hanging="269"/>
      </w:pPr>
      <w:rPr>
        <w:rFonts w:hint="default"/>
        <w:lang w:val="en-US" w:eastAsia="en-US" w:bidi="ar-SA"/>
      </w:rPr>
    </w:lvl>
    <w:lvl w:ilvl="2" w:tplc="F560E614">
      <w:numFmt w:val="bullet"/>
      <w:lvlText w:val="•"/>
      <w:lvlJc w:val="left"/>
      <w:pPr>
        <w:ind w:left="1041" w:hanging="269"/>
      </w:pPr>
      <w:rPr>
        <w:rFonts w:hint="default"/>
        <w:lang w:val="en-US" w:eastAsia="en-US" w:bidi="ar-SA"/>
      </w:rPr>
    </w:lvl>
    <w:lvl w:ilvl="3" w:tplc="24C6261E">
      <w:numFmt w:val="bullet"/>
      <w:lvlText w:val="•"/>
      <w:lvlJc w:val="left"/>
      <w:pPr>
        <w:ind w:left="1511" w:hanging="269"/>
      </w:pPr>
      <w:rPr>
        <w:rFonts w:hint="default"/>
        <w:lang w:val="en-US" w:eastAsia="en-US" w:bidi="ar-SA"/>
      </w:rPr>
    </w:lvl>
    <w:lvl w:ilvl="4" w:tplc="C20A8B4C">
      <w:numFmt w:val="bullet"/>
      <w:lvlText w:val="•"/>
      <w:lvlJc w:val="left"/>
      <w:pPr>
        <w:ind w:left="1982" w:hanging="269"/>
      </w:pPr>
      <w:rPr>
        <w:rFonts w:hint="default"/>
        <w:lang w:val="en-US" w:eastAsia="en-US" w:bidi="ar-SA"/>
      </w:rPr>
    </w:lvl>
    <w:lvl w:ilvl="5" w:tplc="486A96E2">
      <w:numFmt w:val="bullet"/>
      <w:lvlText w:val="•"/>
      <w:lvlJc w:val="left"/>
      <w:pPr>
        <w:ind w:left="2452" w:hanging="269"/>
      </w:pPr>
      <w:rPr>
        <w:rFonts w:hint="default"/>
        <w:lang w:val="en-US" w:eastAsia="en-US" w:bidi="ar-SA"/>
      </w:rPr>
    </w:lvl>
    <w:lvl w:ilvl="6" w:tplc="C1BCE90C">
      <w:numFmt w:val="bullet"/>
      <w:lvlText w:val="•"/>
      <w:lvlJc w:val="left"/>
      <w:pPr>
        <w:ind w:left="2923" w:hanging="269"/>
      </w:pPr>
      <w:rPr>
        <w:rFonts w:hint="default"/>
        <w:lang w:val="en-US" w:eastAsia="en-US" w:bidi="ar-SA"/>
      </w:rPr>
    </w:lvl>
    <w:lvl w:ilvl="7" w:tplc="39A839D8">
      <w:numFmt w:val="bullet"/>
      <w:lvlText w:val="•"/>
      <w:lvlJc w:val="left"/>
      <w:pPr>
        <w:ind w:left="3393" w:hanging="269"/>
      </w:pPr>
      <w:rPr>
        <w:rFonts w:hint="default"/>
        <w:lang w:val="en-US" w:eastAsia="en-US" w:bidi="ar-SA"/>
      </w:rPr>
    </w:lvl>
    <w:lvl w:ilvl="8" w:tplc="7DAA7A60">
      <w:numFmt w:val="bullet"/>
      <w:lvlText w:val="•"/>
      <w:lvlJc w:val="left"/>
      <w:pPr>
        <w:ind w:left="3864" w:hanging="269"/>
      </w:pPr>
      <w:rPr>
        <w:rFonts w:hint="default"/>
        <w:lang w:val="en-US" w:eastAsia="en-US" w:bidi="ar-SA"/>
      </w:rPr>
    </w:lvl>
  </w:abstractNum>
  <w:abstractNum w:abstractNumId="17" w15:restartNumberingAfterBreak="0">
    <w:nsid w:val="3C0973DB"/>
    <w:multiLevelType w:val="multilevel"/>
    <w:tmpl w:val="F12A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D26685"/>
    <w:multiLevelType w:val="hybridMultilevel"/>
    <w:tmpl w:val="A894A69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9" w15:restartNumberingAfterBreak="0">
    <w:nsid w:val="45290B92"/>
    <w:multiLevelType w:val="hybridMultilevel"/>
    <w:tmpl w:val="D5F0D0D6"/>
    <w:lvl w:ilvl="0" w:tplc="8B68B22C">
      <w:start w:val="1"/>
      <w:numFmt w:val="decimal"/>
      <w:lvlText w:val="(%1)"/>
      <w:lvlJc w:val="left"/>
      <w:pPr>
        <w:ind w:left="467" w:hanging="360"/>
      </w:pPr>
      <w:rPr>
        <w:rFonts w:hint="default"/>
      </w:rPr>
    </w:lvl>
    <w:lvl w:ilvl="1" w:tplc="04020019" w:tentative="1">
      <w:start w:val="1"/>
      <w:numFmt w:val="lowerLetter"/>
      <w:lvlText w:val="%2."/>
      <w:lvlJc w:val="left"/>
      <w:pPr>
        <w:ind w:left="1187" w:hanging="360"/>
      </w:pPr>
    </w:lvl>
    <w:lvl w:ilvl="2" w:tplc="0402001B" w:tentative="1">
      <w:start w:val="1"/>
      <w:numFmt w:val="lowerRoman"/>
      <w:lvlText w:val="%3."/>
      <w:lvlJc w:val="right"/>
      <w:pPr>
        <w:ind w:left="1907" w:hanging="180"/>
      </w:pPr>
    </w:lvl>
    <w:lvl w:ilvl="3" w:tplc="0402000F" w:tentative="1">
      <w:start w:val="1"/>
      <w:numFmt w:val="decimal"/>
      <w:lvlText w:val="%4."/>
      <w:lvlJc w:val="left"/>
      <w:pPr>
        <w:ind w:left="2627" w:hanging="360"/>
      </w:pPr>
    </w:lvl>
    <w:lvl w:ilvl="4" w:tplc="04020019" w:tentative="1">
      <w:start w:val="1"/>
      <w:numFmt w:val="lowerLetter"/>
      <w:lvlText w:val="%5."/>
      <w:lvlJc w:val="left"/>
      <w:pPr>
        <w:ind w:left="3347" w:hanging="360"/>
      </w:pPr>
    </w:lvl>
    <w:lvl w:ilvl="5" w:tplc="0402001B" w:tentative="1">
      <w:start w:val="1"/>
      <w:numFmt w:val="lowerRoman"/>
      <w:lvlText w:val="%6."/>
      <w:lvlJc w:val="right"/>
      <w:pPr>
        <w:ind w:left="4067" w:hanging="180"/>
      </w:pPr>
    </w:lvl>
    <w:lvl w:ilvl="6" w:tplc="0402000F" w:tentative="1">
      <w:start w:val="1"/>
      <w:numFmt w:val="decimal"/>
      <w:lvlText w:val="%7."/>
      <w:lvlJc w:val="left"/>
      <w:pPr>
        <w:ind w:left="4787" w:hanging="360"/>
      </w:pPr>
    </w:lvl>
    <w:lvl w:ilvl="7" w:tplc="04020019" w:tentative="1">
      <w:start w:val="1"/>
      <w:numFmt w:val="lowerLetter"/>
      <w:lvlText w:val="%8."/>
      <w:lvlJc w:val="left"/>
      <w:pPr>
        <w:ind w:left="5507" w:hanging="360"/>
      </w:pPr>
    </w:lvl>
    <w:lvl w:ilvl="8" w:tplc="0402001B" w:tentative="1">
      <w:start w:val="1"/>
      <w:numFmt w:val="lowerRoman"/>
      <w:lvlText w:val="%9."/>
      <w:lvlJc w:val="right"/>
      <w:pPr>
        <w:ind w:left="6227" w:hanging="180"/>
      </w:pPr>
    </w:lvl>
  </w:abstractNum>
  <w:abstractNum w:abstractNumId="20" w15:restartNumberingAfterBreak="0">
    <w:nsid w:val="46171E91"/>
    <w:multiLevelType w:val="hybridMultilevel"/>
    <w:tmpl w:val="A8544DCA"/>
    <w:lvl w:ilvl="0" w:tplc="95E04290">
      <w:start w:val="1"/>
      <w:numFmt w:val="lowerLetter"/>
      <w:lvlText w:val="(%1)"/>
      <w:lvlJc w:val="left"/>
      <w:pPr>
        <w:ind w:left="107" w:hanging="360"/>
      </w:pPr>
      <w:rPr>
        <w:rFonts w:ascii="Arial" w:eastAsia="Arial" w:hAnsi="Arial" w:cs="Arial" w:hint="default"/>
        <w:w w:val="99"/>
        <w:sz w:val="24"/>
        <w:szCs w:val="24"/>
        <w:lang w:val="en-US" w:eastAsia="en-US" w:bidi="ar-SA"/>
      </w:rPr>
    </w:lvl>
    <w:lvl w:ilvl="1" w:tplc="025A6E24">
      <w:numFmt w:val="bullet"/>
      <w:lvlText w:val="•"/>
      <w:lvlJc w:val="left"/>
      <w:pPr>
        <w:ind w:left="570" w:hanging="360"/>
      </w:pPr>
      <w:rPr>
        <w:rFonts w:hint="default"/>
        <w:lang w:val="en-US" w:eastAsia="en-US" w:bidi="ar-SA"/>
      </w:rPr>
    </w:lvl>
    <w:lvl w:ilvl="2" w:tplc="CBFE7234">
      <w:numFmt w:val="bullet"/>
      <w:lvlText w:val="•"/>
      <w:lvlJc w:val="left"/>
      <w:pPr>
        <w:ind w:left="1041" w:hanging="360"/>
      </w:pPr>
      <w:rPr>
        <w:rFonts w:hint="default"/>
        <w:lang w:val="en-US" w:eastAsia="en-US" w:bidi="ar-SA"/>
      </w:rPr>
    </w:lvl>
    <w:lvl w:ilvl="3" w:tplc="948C501E">
      <w:numFmt w:val="bullet"/>
      <w:lvlText w:val="•"/>
      <w:lvlJc w:val="left"/>
      <w:pPr>
        <w:ind w:left="1511" w:hanging="360"/>
      </w:pPr>
      <w:rPr>
        <w:rFonts w:hint="default"/>
        <w:lang w:val="en-US" w:eastAsia="en-US" w:bidi="ar-SA"/>
      </w:rPr>
    </w:lvl>
    <w:lvl w:ilvl="4" w:tplc="FE000598">
      <w:numFmt w:val="bullet"/>
      <w:lvlText w:val="•"/>
      <w:lvlJc w:val="left"/>
      <w:pPr>
        <w:ind w:left="1982" w:hanging="360"/>
      </w:pPr>
      <w:rPr>
        <w:rFonts w:hint="default"/>
        <w:lang w:val="en-US" w:eastAsia="en-US" w:bidi="ar-SA"/>
      </w:rPr>
    </w:lvl>
    <w:lvl w:ilvl="5" w:tplc="DA70B13A">
      <w:numFmt w:val="bullet"/>
      <w:lvlText w:val="•"/>
      <w:lvlJc w:val="left"/>
      <w:pPr>
        <w:ind w:left="2452" w:hanging="360"/>
      </w:pPr>
      <w:rPr>
        <w:rFonts w:hint="default"/>
        <w:lang w:val="en-US" w:eastAsia="en-US" w:bidi="ar-SA"/>
      </w:rPr>
    </w:lvl>
    <w:lvl w:ilvl="6" w:tplc="6A3E3C0E">
      <w:numFmt w:val="bullet"/>
      <w:lvlText w:val="•"/>
      <w:lvlJc w:val="left"/>
      <w:pPr>
        <w:ind w:left="2923" w:hanging="360"/>
      </w:pPr>
      <w:rPr>
        <w:rFonts w:hint="default"/>
        <w:lang w:val="en-US" w:eastAsia="en-US" w:bidi="ar-SA"/>
      </w:rPr>
    </w:lvl>
    <w:lvl w:ilvl="7" w:tplc="64A0D454">
      <w:numFmt w:val="bullet"/>
      <w:lvlText w:val="•"/>
      <w:lvlJc w:val="left"/>
      <w:pPr>
        <w:ind w:left="3393" w:hanging="360"/>
      </w:pPr>
      <w:rPr>
        <w:rFonts w:hint="default"/>
        <w:lang w:val="en-US" w:eastAsia="en-US" w:bidi="ar-SA"/>
      </w:rPr>
    </w:lvl>
    <w:lvl w:ilvl="8" w:tplc="403A7B56">
      <w:numFmt w:val="bullet"/>
      <w:lvlText w:val="•"/>
      <w:lvlJc w:val="left"/>
      <w:pPr>
        <w:ind w:left="3864" w:hanging="360"/>
      </w:pPr>
      <w:rPr>
        <w:rFonts w:hint="default"/>
        <w:lang w:val="en-US" w:eastAsia="en-US" w:bidi="ar-SA"/>
      </w:rPr>
    </w:lvl>
  </w:abstractNum>
  <w:abstractNum w:abstractNumId="21" w15:restartNumberingAfterBreak="0">
    <w:nsid w:val="4B181B75"/>
    <w:multiLevelType w:val="hybridMultilevel"/>
    <w:tmpl w:val="3092B31A"/>
    <w:lvl w:ilvl="0" w:tplc="6E1E0052">
      <w:start w:val="1"/>
      <w:numFmt w:val="decimal"/>
      <w:lvlText w:val="%1."/>
      <w:lvlJc w:val="left"/>
      <w:pPr>
        <w:ind w:left="107" w:hanging="267"/>
      </w:pPr>
      <w:rPr>
        <w:rFonts w:ascii="Arial" w:eastAsia="Arial" w:hAnsi="Arial" w:cs="Arial" w:hint="default"/>
        <w:w w:val="99"/>
        <w:sz w:val="24"/>
        <w:szCs w:val="24"/>
        <w:lang w:val="en-US" w:eastAsia="en-US" w:bidi="ar-SA"/>
      </w:rPr>
    </w:lvl>
    <w:lvl w:ilvl="1" w:tplc="B10C9F06">
      <w:numFmt w:val="bullet"/>
      <w:lvlText w:val="•"/>
      <w:lvlJc w:val="left"/>
      <w:pPr>
        <w:ind w:left="570" w:hanging="267"/>
      </w:pPr>
      <w:rPr>
        <w:rFonts w:hint="default"/>
        <w:lang w:val="en-US" w:eastAsia="en-US" w:bidi="ar-SA"/>
      </w:rPr>
    </w:lvl>
    <w:lvl w:ilvl="2" w:tplc="3478696C">
      <w:numFmt w:val="bullet"/>
      <w:lvlText w:val="•"/>
      <w:lvlJc w:val="left"/>
      <w:pPr>
        <w:ind w:left="1041" w:hanging="267"/>
      </w:pPr>
      <w:rPr>
        <w:rFonts w:hint="default"/>
        <w:lang w:val="en-US" w:eastAsia="en-US" w:bidi="ar-SA"/>
      </w:rPr>
    </w:lvl>
    <w:lvl w:ilvl="3" w:tplc="AEE29112">
      <w:numFmt w:val="bullet"/>
      <w:lvlText w:val="•"/>
      <w:lvlJc w:val="left"/>
      <w:pPr>
        <w:ind w:left="1511" w:hanging="267"/>
      </w:pPr>
      <w:rPr>
        <w:rFonts w:hint="default"/>
        <w:lang w:val="en-US" w:eastAsia="en-US" w:bidi="ar-SA"/>
      </w:rPr>
    </w:lvl>
    <w:lvl w:ilvl="4" w:tplc="0D82A6C4">
      <w:numFmt w:val="bullet"/>
      <w:lvlText w:val="•"/>
      <w:lvlJc w:val="left"/>
      <w:pPr>
        <w:ind w:left="1982" w:hanging="267"/>
      </w:pPr>
      <w:rPr>
        <w:rFonts w:hint="default"/>
        <w:lang w:val="en-US" w:eastAsia="en-US" w:bidi="ar-SA"/>
      </w:rPr>
    </w:lvl>
    <w:lvl w:ilvl="5" w:tplc="2138E7A0">
      <w:numFmt w:val="bullet"/>
      <w:lvlText w:val="•"/>
      <w:lvlJc w:val="left"/>
      <w:pPr>
        <w:ind w:left="2452" w:hanging="267"/>
      </w:pPr>
      <w:rPr>
        <w:rFonts w:hint="default"/>
        <w:lang w:val="en-US" w:eastAsia="en-US" w:bidi="ar-SA"/>
      </w:rPr>
    </w:lvl>
    <w:lvl w:ilvl="6" w:tplc="91D888E0">
      <w:numFmt w:val="bullet"/>
      <w:lvlText w:val="•"/>
      <w:lvlJc w:val="left"/>
      <w:pPr>
        <w:ind w:left="2923" w:hanging="267"/>
      </w:pPr>
      <w:rPr>
        <w:rFonts w:hint="default"/>
        <w:lang w:val="en-US" w:eastAsia="en-US" w:bidi="ar-SA"/>
      </w:rPr>
    </w:lvl>
    <w:lvl w:ilvl="7" w:tplc="8D3CADAC">
      <w:numFmt w:val="bullet"/>
      <w:lvlText w:val="•"/>
      <w:lvlJc w:val="left"/>
      <w:pPr>
        <w:ind w:left="3393" w:hanging="267"/>
      </w:pPr>
      <w:rPr>
        <w:rFonts w:hint="default"/>
        <w:lang w:val="en-US" w:eastAsia="en-US" w:bidi="ar-SA"/>
      </w:rPr>
    </w:lvl>
    <w:lvl w:ilvl="8" w:tplc="512A3002">
      <w:numFmt w:val="bullet"/>
      <w:lvlText w:val="•"/>
      <w:lvlJc w:val="left"/>
      <w:pPr>
        <w:ind w:left="3864" w:hanging="267"/>
      </w:pPr>
      <w:rPr>
        <w:rFonts w:hint="default"/>
        <w:lang w:val="en-US" w:eastAsia="en-US" w:bidi="ar-SA"/>
      </w:rPr>
    </w:lvl>
  </w:abstractNum>
  <w:abstractNum w:abstractNumId="22" w15:restartNumberingAfterBreak="0">
    <w:nsid w:val="4BE97EA9"/>
    <w:multiLevelType w:val="hybridMultilevel"/>
    <w:tmpl w:val="E96E9E28"/>
    <w:lvl w:ilvl="0" w:tplc="08090001">
      <w:start w:val="1"/>
      <w:numFmt w:val="bullet"/>
      <w:lvlText w:val=""/>
      <w:lvlJc w:val="left"/>
      <w:pPr>
        <w:ind w:left="827" w:hanging="360"/>
      </w:pPr>
      <w:rPr>
        <w:rFonts w:ascii="Symbol" w:hAnsi="Symbol" w:hint="default"/>
      </w:rPr>
    </w:lvl>
    <w:lvl w:ilvl="1" w:tplc="08090003">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3" w15:restartNumberingAfterBreak="0">
    <w:nsid w:val="4E097EA5"/>
    <w:multiLevelType w:val="hybridMultilevel"/>
    <w:tmpl w:val="6E8C8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786E25"/>
    <w:multiLevelType w:val="hybridMultilevel"/>
    <w:tmpl w:val="31005DA0"/>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5" w15:restartNumberingAfterBreak="0">
    <w:nsid w:val="4F7F0E08"/>
    <w:multiLevelType w:val="hybridMultilevel"/>
    <w:tmpl w:val="13981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224E9F"/>
    <w:multiLevelType w:val="hybridMultilevel"/>
    <w:tmpl w:val="F5F0A8A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7" w15:restartNumberingAfterBreak="0">
    <w:nsid w:val="5C920473"/>
    <w:multiLevelType w:val="hybridMultilevel"/>
    <w:tmpl w:val="9B8E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D631FE"/>
    <w:multiLevelType w:val="hybridMultilevel"/>
    <w:tmpl w:val="3E0E320E"/>
    <w:lvl w:ilvl="0" w:tplc="8B607B80">
      <w:start w:val="1"/>
      <w:numFmt w:val="decimal"/>
      <w:lvlText w:val="%1."/>
      <w:lvlJc w:val="left"/>
      <w:pPr>
        <w:ind w:left="107" w:hanging="267"/>
      </w:pPr>
      <w:rPr>
        <w:rFonts w:ascii="Arial" w:eastAsia="Arial" w:hAnsi="Arial" w:cs="Arial" w:hint="default"/>
        <w:w w:val="99"/>
        <w:sz w:val="24"/>
        <w:szCs w:val="24"/>
        <w:lang w:val="en-US" w:eastAsia="en-US" w:bidi="ar-SA"/>
      </w:rPr>
    </w:lvl>
    <w:lvl w:ilvl="1" w:tplc="5742D2BA">
      <w:numFmt w:val="bullet"/>
      <w:lvlText w:val="•"/>
      <w:lvlJc w:val="left"/>
      <w:pPr>
        <w:ind w:left="570" w:hanging="267"/>
      </w:pPr>
      <w:rPr>
        <w:rFonts w:hint="default"/>
        <w:lang w:val="en-US" w:eastAsia="en-US" w:bidi="ar-SA"/>
      </w:rPr>
    </w:lvl>
    <w:lvl w:ilvl="2" w:tplc="BBD67AEA">
      <w:numFmt w:val="bullet"/>
      <w:lvlText w:val="•"/>
      <w:lvlJc w:val="left"/>
      <w:pPr>
        <w:ind w:left="1041" w:hanging="267"/>
      </w:pPr>
      <w:rPr>
        <w:rFonts w:hint="default"/>
        <w:lang w:val="en-US" w:eastAsia="en-US" w:bidi="ar-SA"/>
      </w:rPr>
    </w:lvl>
    <w:lvl w:ilvl="3" w:tplc="CA3022A6">
      <w:numFmt w:val="bullet"/>
      <w:lvlText w:val="•"/>
      <w:lvlJc w:val="left"/>
      <w:pPr>
        <w:ind w:left="1511" w:hanging="267"/>
      </w:pPr>
      <w:rPr>
        <w:rFonts w:hint="default"/>
        <w:lang w:val="en-US" w:eastAsia="en-US" w:bidi="ar-SA"/>
      </w:rPr>
    </w:lvl>
    <w:lvl w:ilvl="4" w:tplc="AC4A40E6">
      <w:numFmt w:val="bullet"/>
      <w:lvlText w:val="•"/>
      <w:lvlJc w:val="left"/>
      <w:pPr>
        <w:ind w:left="1982" w:hanging="267"/>
      </w:pPr>
      <w:rPr>
        <w:rFonts w:hint="default"/>
        <w:lang w:val="en-US" w:eastAsia="en-US" w:bidi="ar-SA"/>
      </w:rPr>
    </w:lvl>
    <w:lvl w:ilvl="5" w:tplc="29F87B32">
      <w:numFmt w:val="bullet"/>
      <w:lvlText w:val="•"/>
      <w:lvlJc w:val="left"/>
      <w:pPr>
        <w:ind w:left="2452" w:hanging="267"/>
      </w:pPr>
      <w:rPr>
        <w:rFonts w:hint="default"/>
        <w:lang w:val="en-US" w:eastAsia="en-US" w:bidi="ar-SA"/>
      </w:rPr>
    </w:lvl>
    <w:lvl w:ilvl="6" w:tplc="B6D224E4">
      <w:numFmt w:val="bullet"/>
      <w:lvlText w:val="•"/>
      <w:lvlJc w:val="left"/>
      <w:pPr>
        <w:ind w:left="2923" w:hanging="267"/>
      </w:pPr>
      <w:rPr>
        <w:rFonts w:hint="default"/>
        <w:lang w:val="en-US" w:eastAsia="en-US" w:bidi="ar-SA"/>
      </w:rPr>
    </w:lvl>
    <w:lvl w:ilvl="7" w:tplc="86587F2C">
      <w:numFmt w:val="bullet"/>
      <w:lvlText w:val="•"/>
      <w:lvlJc w:val="left"/>
      <w:pPr>
        <w:ind w:left="3393" w:hanging="267"/>
      </w:pPr>
      <w:rPr>
        <w:rFonts w:hint="default"/>
        <w:lang w:val="en-US" w:eastAsia="en-US" w:bidi="ar-SA"/>
      </w:rPr>
    </w:lvl>
    <w:lvl w:ilvl="8" w:tplc="31248EB2">
      <w:numFmt w:val="bullet"/>
      <w:lvlText w:val="•"/>
      <w:lvlJc w:val="left"/>
      <w:pPr>
        <w:ind w:left="3864" w:hanging="267"/>
      </w:pPr>
      <w:rPr>
        <w:rFonts w:hint="default"/>
        <w:lang w:val="en-US" w:eastAsia="en-US" w:bidi="ar-SA"/>
      </w:rPr>
    </w:lvl>
  </w:abstractNum>
  <w:abstractNum w:abstractNumId="29" w15:restartNumberingAfterBreak="0">
    <w:nsid w:val="665511B3"/>
    <w:multiLevelType w:val="hybridMultilevel"/>
    <w:tmpl w:val="4ADEB3D0"/>
    <w:lvl w:ilvl="0" w:tplc="A552C7B0">
      <w:start w:val="1"/>
      <w:numFmt w:val="decimal"/>
      <w:lvlText w:val="%1."/>
      <w:lvlJc w:val="left"/>
      <w:pPr>
        <w:ind w:left="107" w:hanging="269"/>
      </w:pPr>
      <w:rPr>
        <w:rFonts w:ascii="Arial" w:eastAsia="Arial" w:hAnsi="Arial" w:cs="Arial" w:hint="default"/>
        <w:w w:val="99"/>
        <w:sz w:val="24"/>
        <w:szCs w:val="24"/>
        <w:lang w:val="en-US" w:eastAsia="en-US" w:bidi="ar-SA"/>
      </w:rPr>
    </w:lvl>
    <w:lvl w:ilvl="1" w:tplc="569C375A">
      <w:numFmt w:val="bullet"/>
      <w:lvlText w:val="•"/>
      <w:lvlJc w:val="left"/>
      <w:pPr>
        <w:ind w:left="570" w:hanging="269"/>
      </w:pPr>
      <w:rPr>
        <w:rFonts w:hint="default"/>
        <w:lang w:val="en-US" w:eastAsia="en-US" w:bidi="ar-SA"/>
      </w:rPr>
    </w:lvl>
    <w:lvl w:ilvl="2" w:tplc="0562FC66">
      <w:numFmt w:val="bullet"/>
      <w:lvlText w:val="•"/>
      <w:lvlJc w:val="left"/>
      <w:pPr>
        <w:ind w:left="1041" w:hanging="269"/>
      </w:pPr>
      <w:rPr>
        <w:rFonts w:hint="default"/>
        <w:lang w:val="en-US" w:eastAsia="en-US" w:bidi="ar-SA"/>
      </w:rPr>
    </w:lvl>
    <w:lvl w:ilvl="3" w:tplc="9DCAEAE6">
      <w:numFmt w:val="bullet"/>
      <w:lvlText w:val="•"/>
      <w:lvlJc w:val="left"/>
      <w:pPr>
        <w:ind w:left="1511" w:hanging="269"/>
      </w:pPr>
      <w:rPr>
        <w:rFonts w:hint="default"/>
        <w:lang w:val="en-US" w:eastAsia="en-US" w:bidi="ar-SA"/>
      </w:rPr>
    </w:lvl>
    <w:lvl w:ilvl="4" w:tplc="F7F8ADFC">
      <w:numFmt w:val="bullet"/>
      <w:lvlText w:val="•"/>
      <w:lvlJc w:val="left"/>
      <w:pPr>
        <w:ind w:left="1982" w:hanging="269"/>
      </w:pPr>
      <w:rPr>
        <w:rFonts w:hint="default"/>
        <w:lang w:val="en-US" w:eastAsia="en-US" w:bidi="ar-SA"/>
      </w:rPr>
    </w:lvl>
    <w:lvl w:ilvl="5" w:tplc="28DA8BA8">
      <w:numFmt w:val="bullet"/>
      <w:lvlText w:val="•"/>
      <w:lvlJc w:val="left"/>
      <w:pPr>
        <w:ind w:left="2452" w:hanging="269"/>
      </w:pPr>
      <w:rPr>
        <w:rFonts w:hint="default"/>
        <w:lang w:val="en-US" w:eastAsia="en-US" w:bidi="ar-SA"/>
      </w:rPr>
    </w:lvl>
    <w:lvl w:ilvl="6" w:tplc="3EC47966">
      <w:numFmt w:val="bullet"/>
      <w:lvlText w:val="•"/>
      <w:lvlJc w:val="left"/>
      <w:pPr>
        <w:ind w:left="2923" w:hanging="269"/>
      </w:pPr>
      <w:rPr>
        <w:rFonts w:hint="default"/>
        <w:lang w:val="en-US" w:eastAsia="en-US" w:bidi="ar-SA"/>
      </w:rPr>
    </w:lvl>
    <w:lvl w:ilvl="7" w:tplc="CA0CBE10">
      <w:numFmt w:val="bullet"/>
      <w:lvlText w:val="•"/>
      <w:lvlJc w:val="left"/>
      <w:pPr>
        <w:ind w:left="3393" w:hanging="269"/>
      </w:pPr>
      <w:rPr>
        <w:rFonts w:hint="default"/>
        <w:lang w:val="en-US" w:eastAsia="en-US" w:bidi="ar-SA"/>
      </w:rPr>
    </w:lvl>
    <w:lvl w:ilvl="8" w:tplc="15583CD6">
      <w:numFmt w:val="bullet"/>
      <w:lvlText w:val="•"/>
      <w:lvlJc w:val="left"/>
      <w:pPr>
        <w:ind w:left="3864" w:hanging="269"/>
      </w:pPr>
      <w:rPr>
        <w:rFonts w:hint="default"/>
        <w:lang w:val="en-US" w:eastAsia="en-US" w:bidi="ar-SA"/>
      </w:rPr>
    </w:lvl>
  </w:abstractNum>
  <w:abstractNum w:abstractNumId="30" w15:restartNumberingAfterBreak="0">
    <w:nsid w:val="6930124C"/>
    <w:multiLevelType w:val="hybridMultilevel"/>
    <w:tmpl w:val="2A00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561FA0"/>
    <w:multiLevelType w:val="hybridMultilevel"/>
    <w:tmpl w:val="F09899F6"/>
    <w:lvl w:ilvl="0" w:tplc="E68E8A54">
      <w:start w:val="1"/>
      <w:numFmt w:val="decimal"/>
      <w:lvlText w:val="%1."/>
      <w:lvlJc w:val="left"/>
      <w:pPr>
        <w:ind w:left="107" w:hanging="269"/>
      </w:pPr>
      <w:rPr>
        <w:rFonts w:ascii="Arial" w:eastAsia="Arial" w:hAnsi="Arial" w:cs="Arial" w:hint="default"/>
        <w:w w:val="99"/>
        <w:sz w:val="24"/>
        <w:szCs w:val="24"/>
        <w:lang w:val="en-US" w:eastAsia="en-US" w:bidi="ar-SA"/>
      </w:rPr>
    </w:lvl>
    <w:lvl w:ilvl="1" w:tplc="50C03D78">
      <w:numFmt w:val="bullet"/>
      <w:lvlText w:val="•"/>
      <w:lvlJc w:val="left"/>
      <w:pPr>
        <w:ind w:left="570" w:hanging="269"/>
      </w:pPr>
      <w:rPr>
        <w:rFonts w:hint="default"/>
        <w:lang w:val="en-US" w:eastAsia="en-US" w:bidi="ar-SA"/>
      </w:rPr>
    </w:lvl>
    <w:lvl w:ilvl="2" w:tplc="95BA65BE">
      <w:numFmt w:val="bullet"/>
      <w:lvlText w:val="•"/>
      <w:lvlJc w:val="left"/>
      <w:pPr>
        <w:ind w:left="1041" w:hanging="269"/>
      </w:pPr>
      <w:rPr>
        <w:rFonts w:hint="default"/>
        <w:lang w:val="en-US" w:eastAsia="en-US" w:bidi="ar-SA"/>
      </w:rPr>
    </w:lvl>
    <w:lvl w:ilvl="3" w:tplc="BAE6A53A">
      <w:numFmt w:val="bullet"/>
      <w:lvlText w:val="•"/>
      <w:lvlJc w:val="left"/>
      <w:pPr>
        <w:ind w:left="1511" w:hanging="269"/>
      </w:pPr>
      <w:rPr>
        <w:rFonts w:hint="default"/>
        <w:lang w:val="en-US" w:eastAsia="en-US" w:bidi="ar-SA"/>
      </w:rPr>
    </w:lvl>
    <w:lvl w:ilvl="4" w:tplc="23FE3FE4">
      <w:numFmt w:val="bullet"/>
      <w:lvlText w:val="•"/>
      <w:lvlJc w:val="left"/>
      <w:pPr>
        <w:ind w:left="1982" w:hanging="269"/>
      </w:pPr>
      <w:rPr>
        <w:rFonts w:hint="default"/>
        <w:lang w:val="en-US" w:eastAsia="en-US" w:bidi="ar-SA"/>
      </w:rPr>
    </w:lvl>
    <w:lvl w:ilvl="5" w:tplc="96EEAB02">
      <w:numFmt w:val="bullet"/>
      <w:lvlText w:val="•"/>
      <w:lvlJc w:val="left"/>
      <w:pPr>
        <w:ind w:left="2452" w:hanging="269"/>
      </w:pPr>
      <w:rPr>
        <w:rFonts w:hint="default"/>
        <w:lang w:val="en-US" w:eastAsia="en-US" w:bidi="ar-SA"/>
      </w:rPr>
    </w:lvl>
    <w:lvl w:ilvl="6" w:tplc="0EAE7FEA">
      <w:numFmt w:val="bullet"/>
      <w:lvlText w:val="•"/>
      <w:lvlJc w:val="left"/>
      <w:pPr>
        <w:ind w:left="2923" w:hanging="269"/>
      </w:pPr>
      <w:rPr>
        <w:rFonts w:hint="default"/>
        <w:lang w:val="en-US" w:eastAsia="en-US" w:bidi="ar-SA"/>
      </w:rPr>
    </w:lvl>
    <w:lvl w:ilvl="7" w:tplc="AA4A7F6A">
      <w:numFmt w:val="bullet"/>
      <w:lvlText w:val="•"/>
      <w:lvlJc w:val="left"/>
      <w:pPr>
        <w:ind w:left="3393" w:hanging="269"/>
      </w:pPr>
      <w:rPr>
        <w:rFonts w:hint="default"/>
        <w:lang w:val="en-US" w:eastAsia="en-US" w:bidi="ar-SA"/>
      </w:rPr>
    </w:lvl>
    <w:lvl w:ilvl="8" w:tplc="8ACACFF6">
      <w:numFmt w:val="bullet"/>
      <w:lvlText w:val="•"/>
      <w:lvlJc w:val="left"/>
      <w:pPr>
        <w:ind w:left="3864" w:hanging="269"/>
      </w:pPr>
      <w:rPr>
        <w:rFonts w:hint="default"/>
        <w:lang w:val="en-US" w:eastAsia="en-US" w:bidi="ar-SA"/>
      </w:rPr>
    </w:lvl>
  </w:abstractNum>
  <w:abstractNum w:abstractNumId="32" w15:restartNumberingAfterBreak="0">
    <w:nsid w:val="6F5B588B"/>
    <w:multiLevelType w:val="multilevel"/>
    <w:tmpl w:val="459E3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4F4666"/>
    <w:multiLevelType w:val="hybridMultilevel"/>
    <w:tmpl w:val="FD5664F4"/>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4" w15:restartNumberingAfterBreak="0">
    <w:nsid w:val="709C72D9"/>
    <w:multiLevelType w:val="hybridMultilevel"/>
    <w:tmpl w:val="68141D84"/>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5" w15:restartNumberingAfterBreak="0">
    <w:nsid w:val="71BB70D9"/>
    <w:multiLevelType w:val="hybridMultilevel"/>
    <w:tmpl w:val="2C1C751C"/>
    <w:lvl w:ilvl="0" w:tplc="3280B0CA">
      <w:start w:val="4"/>
      <w:numFmt w:val="decimal"/>
      <w:lvlText w:val="%1."/>
      <w:lvlJc w:val="left"/>
      <w:pPr>
        <w:ind w:left="107" w:hanging="267"/>
      </w:pPr>
      <w:rPr>
        <w:rFonts w:ascii="Arial" w:eastAsia="Arial" w:hAnsi="Arial" w:cs="Arial" w:hint="default"/>
        <w:w w:val="99"/>
        <w:sz w:val="24"/>
        <w:szCs w:val="24"/>
        <w:lang w:val="en-US" w:eastAsia="en-US" w:bidi="ar-SA"/>
      </w:rPr>
    </w:lvl>
    <w:lvl w:ilvl="1" w:tplc="A24E1A82">
      <w:numFmt w:val="bullet"/>
      <w:lvlText w:val="•"/>
      <w:lvlJc w:val="left"/>
      <w:pPr>
        <w:ind w:left="570" w:hanging="267"/>
      </w:pPr>
      <w:rPr>
        <w:rFonts w:hint="default"/>
        <w:lang w:val="en-US" w:eastAsia="en-US" w:bidi="ar-SA"/>
      </w:rPr>
    </w:lvl>
    <w:lvl w:ilvl="2" w:tplc="55621268">
      <w:numFmt w:val="bullet"/>
      <w:lvlText w:val="•"/>
      <w:lvlJc w:val="left"/>
      <w:pPr>
        <w:ind w:left="1041" w:hanging="267"/>
      </w:pPr>
      <w:rPr>
        <w:rFonts w:hint="default"/>
        <w:lang w:val="en-US" w:eastAsia="en-US" w:bidi="ar-SA"/>
      </w:rPr>
    </w:lvl>
    <w:lvl w:ilvl="3" w:tplc="82988126">
      <w:numFmt w:val="bullet"/>
      <w:lvlText w:val="•"/>
      <w:lvlJc w:val="left"/>
      <w:pPr>
        <w:ind w:left="1511" w:hanging="267"/>
      </w:pPr>
      <w:rPr>
        <w:rFonts w:hint="default"/>
        <w:lang w:val="en-US" w:eastAsia="en-US" w:bidi="ar-SA"/>
      </w:rPr>
    </w:lvl>
    <w:lvl w:ilvl="4" w:tplc="0E3C617E">
      <w:numFmt w:val="bullet"/>
      <w:lvlText w:val="•"/>
      <w:lvlJc w:val="left"/>
      <w:pPr>
        <w:ind w:left="1982" w:hanging="267"/>
      </w:pPr>
      <w:rPr>
        <w:rFonts w:hint="default"/>
        <w:lang w:val="en-US" w:eastAsia="en-US" w:bidi="ar-SA"/>
      </w:rPr>
    </w:lvl>
    <w:lvl w:ilvl="5" w:tplc="7C623BFA">
      <w:numFmt w:val="bullet"/>
      <w:lvlText w:val="•"/>
      <w:lvlJc w:val="left"/>
      <w:pPr>
        <w:ind w:left="2452" w:hanging="267"/>
      </w:pPr>
      <w:rPr>
        <w:rFonts w:hint="default"/>
        <w:lang w:val="en-US" w:eastAsia="en-US" w:bidi="ar-SA"/>
      </w:rPr>
    </w:lvl>
    <w:lvl w:ilvl="6" w:tplc="657802FC">
      <w:numFmt w:val="bullet"/>
      <w:lvlText w:val="•"/>
      <w:lvlJc w:val="left"/>
      <w:pPr>
        <w:ind w:left="2923" w:hanging="267"/>
      </w:pPr>
      <w:rPr>
        <w:rFonts w:hint="default"/>
        <w:lang w:val="en-US" w:eastAsia="en-US" w:bidi="ar-SA"/>
      </w:rPr>
    </w:lvl>
    <w:lvl w:ilvl="7" w:tplc="D95AF906">
      <w:numFmt w:val="bullet"/>
      <w:lvlText w:val="•"/>
      <w:lvlJc w:val="left"/>
      <w:pPr>
        <w:ind w:left="3393" w:hanging="267"/>
      </w:pPr>
      <w:rPr>
        <w:rFonts w:hint="default"/>
        <w:lang w:val="en-US" w:eastAsia="en-US" w:bidi="ar-SA"/>
      </w:rPr>
    </w:lvl>
    <w:lvl w:ilvl="8" w:tplc="F40886BA">
      <w:numFmt w:val="bullet"/>
      <w:lvlText w:val="•"/>
      <w:lvlJc w:val="left"/>
      <w:pPr>
        <w:ind w:left="3864" w:hanging="267"/>
      </w:pPr>
      <w:rPr>
        <w:rFonts w:hint="default"/>
        <w:lang w:val="en-US" w:eastAsia="en-US" w:bidi="ar-SA"/>
      </w:rPr>
    </w:lvl>
  </w:abstractNum>
  <w:abstractNum w:abstractNumId="36" w15:restartNumberingAfterBreak="0">
    <w:nsid w:val="72A32151"/>
    <w:multiLevelType w:val="hybridMultilevel"/>
    <w:tmpl w:val="9C086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025B84"/>
    <w:multiLevelType w:val="hybridMultilevel"/>
    <w:tmpl w:val="664CC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B26897"/>
    <w:multiLevelType w:val="hybridMultilevel"/>
    <w:tmpl w:val="68BA057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9" w15:restartNumberingAfterBreak="0">
    <w:nsid w:val="78996267"/>
    <w:multiLevelType w:val="hybridMultilevel"/>
    <w:tmpl w:val="C0AE8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6103A8"/>
    <w:multiLevelType w:val="hybridMultilevel"/>
    <w:tmpl w:val="FF9825F4"/>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41" w15:restartNumberingAfterBreak="0">
    <w:nsid w:val="7B641170"/>
    <w:multiLevelType w:val="hybridMultilevel"/>
    <w:tmpl w:val="D1B6E614"/>
    <w:lvl w:ilvl="0" w:tplc="C138FEA6">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16cid:durableId="1934974068">
    <w:abstractNumId w:val="35"/>
  </w:num>
  <w:num w:numId="2" w16cid:durableId="1571647196">
    <w:abstractNumId w:val="1"/>
  </w:num>
  <w:num w:numId="3" w16cid:durableId="2025083561">
    <w:abstractNumId w:val="28"/>
  </w:num>
  <w:num w:numId="4" w16cid:durableId="134683580">
    <w:abstractNumId w:val="10"/>
  </w:num>
  <w:num w:numId="5" w16cid:durableId="1266040121">
    <w:abstractNumId w:val="8"/>
  </w:num>
  <w:num w:numId="6" w16cid:durableId="1581211123">
    <w:abstractNumId w:val="21"/>
  </w:num>
  <w:num w:numId="7" w16cid:durableId="2096701171">
    <w:abstractNumId w:val="29"/>
  </w:num>
  <w:num w:numId="8" w16cid:durableId="1642225303">
    <w:abstractNumId w:val="31"/>
  </w:num>
  <w:num w:numId="9" w16cid:durableId="1571379215">
    <w:abstractNumId w:val="16"/>
  </w:num>
  <w:num w:numId="10" w16cid:durableId="592590715">
    <w:abstractNumId w:val="20"/>
  </w:num>
  <w:num w:numId="11" w16cid:durableId="1274511143">
    <w:abstractNumId w:val="2"/>
  </w:num>
  <w:num w:numId="12" w16cid:durableId="1871993981">
    <w:abstractNumId w:val="41"/>
  </w:num>
  <w:num w:numId="13" w16cid:durableId="963929908">
    <w:abstractNumId w:val="11"/>
  </w:num>
  <w:num w:numId="14" w16cid:durableId="708728765">
    <w:abstractNumId w:val="19"/>
  </w:num>
  <w:num w:numId="15" w16cid:durableId="834298706">
    <w:abstractNumId w:val="7"/>
  </w:num>
  <w:num w:numId="16" w16cid:durableId="681055548">
    <w:abstractNumId w:val="13"/>
  </w:num>
  <w:num w:numId="17" w16cid:durableId="1809518947">
    <w:abstractNumId w:val="32"/>
  </w:num>
  <w:num w:numId="18" w16cid:durableId="898243358">
    <w:abstractNumId w:val="15"/>
  </w:num>
  <w:num w:numId="19" w16cid:durableId="802700965">
    <w:abstractNumId w:val="0"/>
  </w:num>
  <w:num w:numId="20" w16cid:durableId="1183515850">
    <w:abstractNumId w:val="17"/>
  </w:num>
  <w:num w:numId="21" w16cid:durableId="2031836815">
    <w:abstractNumId w:val="3"/>
  </w:num>
  <w:num w:numId="22" w16cid:durableId="1572304768">
    <w:abstractNumId w:val="9"/>
  </w:num>
  <w:num w:numId="23" w16cid:durableId="1984507472">
    <w:abstractNumId w:val="40"/>
  </w:num>
  <w:num w:numId="24" w16cid:durableId="727454061">
    <w:abstractNumId w:val="5"/>
  </w:num>
  <w:num w:numId="25" w16cid:durableId="1133905204">
    <w:abstractNumId w:val="26"/>
  </w:num>
  <w:num w:numId="26" w16cid:durableId="380788450">
    <w:abstractNumId w:val="22"/>
  </w:num>
  <w:num w:numId="27" w16cid:durableId="980575153">
    <w:abstractNumId w:val="30"/>
  </w:num>
  <w:num w:numId="28" w16cid:durableId="939408953">
    <w:abstractNumId w:val="39"/>
  </w:num>
  <w:num w:numId="29" w16cid:durableId="1603221462">
    <w:abstractNumId w:val="27"/>
  </w:num>
  <w:num w:numId="30" w16cid:durableId="1530994289">
    <w:abstractNumId w:val="37"/>
  </w:num>
  <w:num w:numId="31" w16cid:durableId="223029987">
    <w:abstractNumId w:val="23"/>
  </w:num>
  <w:num w:numId="32" w16cid:durableId="2101632940">
    <w:abstractNumId w:val="12"/>
  </w:num>
  <w:num w:numId="33" w16cid:durableId="559946782">
    <w:abstractNumId w:val="36"/>
  </w:num>
  <w:num w:numId="34" w16cid:durableId="1695303746">
    <w:abstractNumId w:val="24"/>
  </w:num>
  <w:num w:numId="35" w16cid:durableId="1136144653">
    <w:abstractNumId w:val="34"/>
  </w:num>
  <w:num w:numId="36" w16cid:durableId="270624778">
    <w:abstractNumId w:val="4"/>
  </w:num>
  <w:num w:numId="37" w16cid:durableId="951714056">
    <w:abstractNumId w:val="14"/>
  </w:num>
  <w:num w:numId="38" w16cid:durableId="1049841015">
    <w:abstractNumId w:val="6"/>
  </w:num>
  <w:num w:numId="39" w16cid:durableId="1877498231">
    <w:abstractNumId w:val="38"/>
  </w:num>
  <w:num w:numId="40" w16cid:durableId="1481577230">
    <w:abstractNumId w:val="18"/>
  </w:num>
  <w:num w:numId="41" w16cid:durableId="1402367969">
    <w:abstractNumId w:val="25"/>
  </w:num>
  <w:num w:numId="42" w16cid:durableId="49781419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29F"/>
    <w:rsid w:val="00021510"/>
    <w:rsid w:val="000469D5"/>
    <w:rsid w:val="00092F9A"/>
    <w:rsid w:val="00111049"/>
    <w:rsid w:val="001223F2"/>
    <w:rsid w:val="00127F3A"/>
    <w:rsid w:val="0014058D"/>
    <w:rsid w:val="001A0AAE"/>
    <w:rsid w:val="001B792B"/>
    <w:rsid w:val="001D6452"/>
    <w:rsid w:val="00291FCB"/>
    <w:rsid w:val="00295567"/>
    <w:rsid w:val="0032648D"/>
    <w:rsid w:val="0034509F"/>
    <w:rsid w:val="003A06A9"/>
    <w:rsid w:val="003D029F"/>
    <w:rsid w:val="004273F3"/>
    <w:rsid w:val="00474DB1"/>
    <w:rsid w:val="004831BE"/>
    <w:rsid w:val="004B662D"/>
    <w:rsid w:val="00533080"/>
    <w:rsid w:val="00547F88"/>
    <w:rsid w:val="00567644"/>
    <w:rsid w:val="00572D71"/>
    <w:rsid w:val="005A3887"/>
    <w:rsid w:val="006234AF"/>
    <w:rsid w:val="0063382A"/>
    <w:rsid w:val="00637893"/>
    <w:rsid w:val="00647207"/>
    <w:rsid w:val="006B409A"/>
    <w:rsid w:val="006C28B4"/>
    <w:rsid w:val="006E2FBE"/>
    <w:rsid w:val="008838C2"/>
    <w:rsid w:val="008A4247"/>
    <w:rsid w:val="00910E44"/>
    <w:rsid w:val="009B6B5E"/>
    <w:rsid w:val="009D73B7"/>
    <w:rsid w:val="009E23AC"/>
    <w:rsid w:val="009F334F"/>
    <w:rsid w:val="00A07D10"/>
    <w:rsid w:val="00A22CFF"/>
    <w:rsid w:val="00A37954"/>
    <w:rsid w:val="00A570A6"/>
    <w:rsid w:val="00A7480B"/>
    <w:rsid w:val="00B167AB"/>
    <w:rsid w:val="00BC3B44"/>
    <w:rsid w:val="00C34E27"/>
    <w:rsid w:val="00C518C8"/>
    <w:rsid w:val="00D16064"/>
    <w:rsid w:val="00D62888"/>
    <w:rsid w:val="00D73570"/>
    <w:rsid w:val="00DB42EB"/>
    <w:rsid w:val="00DE3851"/>
    <w:rsid w:val="00E73CE1"/>
    <w:rsid w:val="00E744B8"/>
    <w:rsid w:val="00E906DF"/>
    <w:rsid w:val="00EC2DD9"/>
    <w:rsid w:val="00EC44E3"/>
    <w:rsid w:val="00ED09FA"/>
    <w:rsid w:val="00F143A7"/>
    <w:rsid w:val="00F15DC3"/>
    <w:rsid w:val="00F36E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2BA11"/>
  <w15:docId w15:val="{DDA0CBD3-FC92-4701-A13B-03D7BFC7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 w:type="paragraph" w:styleId="NormalWeb">
    <w:name w:val="Normal (Web)"/>
    <w:basedOn w:val="Normal"/>
    <w:uiPriority w:val="99"/>
    <w:semiHidden/>
    <w:unhideWhenUsed/>
    <w:rsid w:val="00C518C8"/>
    <w:pPr>
      <w:widowControl/>
      <w:autoSpaceDE/>
      <w:autoSpaceDN/>
      <w:spacing w:before="100" w:beforeAutospacing="1" w:after="100" w:afterAutospacing="1"/>
    </w:pPr>
    <w:rPr>
      <w:rFonts w:ascii="Times New Roman" w:eastAsia="Times New Roman" w:hAnsi="Times New Roman" w:cs="Times New Roman"/>
      <w:sz w:val="24"/>
      <w:szCs w:val="24"/>
      <w:lang w:val="bg-BG" w:eastAsia="bg-BG"/>
    </w:rPr>
  </w:style>
  <w:style w:type="character" w:styleId="Strong">
    <w:name w:val="Strong"/>
    <w:basedOn w:val="DefaultParagraphFont"/>
    <w:uiPriority w:val="22"/>
    <w:qFormat/>
    <w:rsid w:val="00C518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666350">
      <w:bodyDiv w:val="1"/>
      <w:marLeft w:val="0"/>
      <w:marRight w:val="0"/>
      <w:marTop w:val="0"/>
      <w:marBottom w:val="0"/>
      <w:divBdr>
        <w:top w:val="none" w:sz="0" w:space="0" w:color="auto"/>
        <w:left w:val="none" w:sz="0" w:space="0" w:color="auto"/>
        <w:bottom w:val="none" w:sz="0" w:space="0" w:color="auto"/>
        <w:right w:val="none" w:sz="0" w:space="0" w:color="auto"/>
      </w:divBdr>
    </w:div>
    <w:div w:id="1674650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BDA56-A0EF-4DB7-B413-0F3D1ECE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7076</Words>
  <Characters>40338</Characters>
  <Application>Microsoft Office Word</Application>
  <DocSecurity>0</DocSecurity>
  <Lines>336</Lines>
  <Paragraphs>94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bentley</dc:creator>
  <cp:lastModifiedBy>steven bentley</cp:lastModifiedBy>
  <cp:revision>2</cp:revision>
  <dcterms:created xsi:type="dcterms:W3CDTF">2023-11-03T06:00:00Z</dcterms:created>
  <dcterms:modified xsi:type="dcterms:W3CDTF">2023-11-03T06:00:00Z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2020-01-06T00:00:00Z</vt:filetime>
  </property>
  <property fmtid="{D5CDD505-2E9C-101B-9397-08002B2CF9AE}" pid="3" name="Creator">
    <vt:lpwstr>Microsoft® Word 2016</vt:lpwstr>
  </property>
  <property fmtid="{D5CDD505-2E9C-101B-9397-08002B2CF9AE}" pid="4" name="LastSaved">
    <vt:filetime>2023-09-01T00:00:00Z</vt:filetime>
  </property>
</Properties>
</file>